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F9" w:rsidRDefault="00B442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TT" w:eastAsia="en-TT"/>
        </w:rPr>
        <w:drawing>
          <wp:inline distT="0" distB="0" distL="0" distR="0">
            <wp:extent cx="2817845" cy="1891004"/>
            <wp:effectExtent l="0" t="0" r="0" b="1460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F5951" w:rsidRDefault="003F5951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3674B6" w:rsidP="00D709F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TT" w:eastAsia="en-T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131445</wp:posOffset>
                </wp:positionV>
                <wp:extent cx="1922145" cy="300355"/>
                <wp:effectExtent l="0" t="0" r="254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14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02B6" w:rsidRPr="00A05387" w:rsidRDefault="007202B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0538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Fig. 1 – Project Lifecycle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2pt;margin-top:10.35pt;width:151.3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" stroked="f">
                <v:textbox>
                  <w:txbxContent>
                    <w:p w:rsidR="007202B6" w:rsidRPr="00A05387" w:rsidRDefault="007202B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0538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Fig. 1 – Project Lifecycle</w:t>
                      </w:r>
                    </w:p>
                  </w:txbxContent>
                </v:textbox>
              </v:shape>
            </w:pict>
          </mc:Fallback>
        </mc:AlternateContent>
      </w: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1979"/>
        <w:tblW w:w="17658" w:type="dxa"/>
        <w:tblLayout w:type="fixed"/>
        <w:tblLook w:val="04A0" w:firstRow="1" w:lastRow="0" w:firstColumn="1" w:lastColumn="0" w:noHBand="0" w:noVBand="1"/>
      </w:tblPr>
      <w:tblGrid>
        <w:gridCol w:w="616"/>
        <w:gridCol w:w="2372"/>
        <w:gridCol w:w="2790"/>
        <w:gridCol w:w="1350"/>
        <w:gridCol w:w="1080"/>
        <w:gridCol w:w="4680"/>
        <w:gridCol w:w="1170"/>
        <w:gridCol w:w="1530"/>
        <w:gridCol w:w="2070"/>
      </w:tblGrid>
      <w:tr w:rsidR="005A0DD7" w:rsidRPr="00B44269" w:rsidTr="00DA7D3C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709F9" w:rsidRPr="00B44269" w:rsidRDefault="00D709F9" w:rsidP="00D709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709F9" w:rsidRPr="00B44269" w:rsidRDefault="00D709F9" w:rsidP="00D709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Identification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709F9" w:rsidRPr="00B44269" w:rsidRDefault="00D709F9" w:rsidP="00D709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consequences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709F9" w:rsidRPr="00B44269" w:rsidRDefault="00D709F9" w:rsidP="007E04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occurrence</w:t>
            </w:r>
          </w:p>
          <w:p w:rsidR="00D709F9" w:rsidRPr="00B44269" w:rsidRDefault="00D709F9" w:rsidP="007E04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709F9" w:rsidRPr="00B44269" w:rsidRDefault="00D709F9" w:rsidP="004F2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impact</w:t>
            </w:r>
          </w:p>
          <w:p w:rsidR="00D709F9" w:rsidRPr="00B44269" w:rsidRDefault="00D709F9" w:rsidP="004F2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709F9" w:rsidRPr="00B44269" w:rsidRDefault="00D709F9" w:rsidP="004F2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mitigation measures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709F9" w:rsidRPr="00B44269" w:rsidRDefault="00D709F9" w:rsidP="004F2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Cost to mitigate</w:t>
            </w:r>
          </w:p>
          <w:p w:rsidR="00D709F9" w:rsidRPr="00B44269" w:rsidRDefault="00D709F9" w:rsidP="004F2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709F9" w:rsidRPr="00B44269" w:rsidRDefault="00D709F9" w:rsidP="004F2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success</w:t>
            </w:r>
          </w:p>
          <w:p w:rsidR="00D709F9" w:rsidRPr="00B44269" w:rsidRDefault="00D709F9" w:rsidP="004F2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709F9" w:rsidRPr="00B44269" w:rsidRDefault="00D709F9" w:rsidP="004F2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Responsibility</w:t>
            </w:r>
          </w:p>
        </w:tc>
      </w:tr>
      <w:tr w:rsidR="004F264B" w:rsidRPr="00B44269" w:rsidTr="00DA7D3C">
        <w:tc>
          <w:tcPr>
            <w:tcW w:w="616" w:type="dxa"/>
            <w:tcBorders>
              <w:top w:val="single" w:sz="4" w:space="0" w:color="auto"/>
            </w:tcBorders>
          </w:tcPr>
          <w:p w:rsidR="00D709F9" w:rsidRPr="00B44269" w:rsidRDefault="00D709F9" w:rsidP="00FA6C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</w:tcBorders>
          </w:tcPr>
          <w:p w:rsidR="00D709F9" w:rsidRPr="00B44269" w:rsidRDefault="00D709F9" w:rsidP="00D70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Non-approval of scope of works by Stakeholders / Client or changes ordered by Client</w:t>
            </w:r>
            <w:r w:rsidR="005346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D709F9" w:rsidRDefault="00D709F9" w:rsidP="00D54D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Project delays</w:t>
            </w:r>
          </w:p>
          <w:p w:rsidR="00D709F9" w:rsidRPr="00AE6750" w:rsidRDefault="00D709F9" w:rsidP="00D54D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Project in jeopardy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D709F9" w:rsidRPr="00B44269" w:rsidRDefault="00D2521D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D709F9" w:rsidRPr="00B44269" w:rsidRDefault="00D709F9" w:rsidP="00D25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that Client is content with the scope of works, give Client as much information and </w:t>
            </w:r>
            <w:r w:rsidR="00D2521D">
              <w:rPr>
                <w:rFonts w:ascii="Times New Roman" w:hAnsi="Times New Roman" w:cs="Times New Roman"/>
                <w:sz w:val="20"/>
                <w:szCs w:val="20"/>
              </w:rPr>
              <w:t>review time.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nsure that Client certifies that the scope is actually what he/she wants. Do not allow many representatives from the Client’s office to intervene, seek approval from the Client for a single entity to make changes and aid in the scope development.</w:t>
            </w:r>
            <w:r w:rsidR="00D252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D709F9" w:rsidRPr="00B44269" w:rsidRDefault="00AA3646" w:rsidP="00D70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  <w:r w:rsidR="00D252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0"/>
            <w:bookmarkEnd w:id="1"/>
            <w:r w:rsidR="00D2521D">
              <w:rPr>
                <w:rFonts w:ascii="Times New Roman" w:hAnsi="Times New Roman" w:cs="Times New Roman"/>
                <w:sz w:val="20"/>
                <w:szCs w:val="20"/>
              </w:rPr>
              <w:t>/ MOW&amp;T</w:t>
            </w:r>
          </w:p>
        </w:tc>
      </w:tr>
      <w:tr w:rsidR="004F264B" w:rsidRPr="00B44269" w:rsidTr="00DA7D3C">
        <w:tc>
          <w:tcPr>
            <w:tcW w:w="616" w:type="dxa"/>
          </w:tcPr>
          <w:p w:rsidR="00D709F9" w:rsidRDefault="00D709F9" w:rsidP="00FA6C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2" w:type="dxa"/>
          </w:tcPr>
          <w:p w:rsidR="00D709F9" w:rsidRPr="00B44269" w:rsidRDefault="00D709F9" w:rsidP="00720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Non-approval or late approval from relevant statutory authorities and agencies;</w:t>
            </w:r>
            <w:r w:rsidR="008679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Town &amp; Country, WASA, T&amp;TEC, TSTT, Ministry of Works and Transport, EMA,</w:t>
            </w:r>
            <w:r w:rsidR="007E04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2B6">
              <w:rPr>
                <w:rFonts w:ascii="Times New Roman" w:hAnsi="Times New Roman" w:cs="Times New Roman"/>
                <w:sz w:val="20"/>
                <w:szCs w:val="20"/>
              </w:rPr>
              <w:t>Regional corporation(s)</w:t>
            </w:r>
            <w:r w:rsidR="007E04E3">
              <w:rPr>
                <w:rFonts w:ascii="Times New Roman" w:hAnsi="Times New Roman" w:cs="Times New Roman"/>
                <w:sz w:val="20"/>
                <w:szCs w:val="20"/>
              </w:rPr>
              <w:t>, Public Health, Fire Services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al</w:t>
            </w:r>
            <w:r w:rsidR="005346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0" w:type="dxa"/>
          </w:tcPr>
          <w:p w:rsidR="00D709F9" w:rsidRPr="00B44269" w:rsidRDefault="007165D4" w:rsidP="00D70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Works cannot be certified and</w:t>
            </w:r>
            <w:r w:rsidR="00D709F9">
              <w:rPr>
                <w:rFonts w:ascii="Times New Roman" w:hAnsi="Times New Roman" w:cs="Times New Roman"/>
                <w:sz w:val="20"/>
                <w:szCs w:val="20"/>
              </w:rPr>
              <w:t xml:space="preserve"> works cannot commence in some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(or most)</w:t>
            </w:r>
            <w:r w:rsidR="00D709F9">
              <w:rPr>
                <w:rFonts w:ascii="Times New Roman" w:hAnsi="Times New Roman" w:cs="Times New Roman"/>
                <w:sz w:val="20"/>
                <w:szCs w:val="20"/>
              </w:rPr>
              <w:t xml:space="preserve"> instances.</w:t>
            </w:r>
          </w:p>
        </w:tc>
        <w:tc>
          <w:tcPr>
            <w:tcW w:w="1350" w:type="dxa"/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80" w:type="dxa"/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D709F9" w:rsidRDefault="00D709F9" w:rsidP="00C764A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64A4">
              <w:rPr>
                <w:rFonts w:ascii="Times New Roman" w:hAnsi="Times New Roman" w:cs="Times New Roman"/>
                <w:sz w:val="20"/>
                <w:szCs w:val="20"/>
              </w:rPr>
              <w:t>Ensure that all approving authorities, Ministries and statutory authorities grant approval or even outline approval prior to the commencement of the works.</w:t>
            </w:r>
          </w:p>
          <w:p w:rsidR="00C764A4" w:rsidRPr="00C764A4" w:rsidRDefault="00C764A4" w:rsidP="00C764A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A3646">
              <w:rPr>
                <w:rFonts w:ascii="Times New Roman" w:hAnsi="Times New Roman" w:cs="Times New Roman"/>
                <w:sz w:val="20"/>
                <w:szCs w:val="20"/>
              </w:rPr>
              <w:t>Prepare a checklist for approvals.</w:t>
            </w:r>
          </w:p>
        </w:tc>
        <w:tc>
          <w:tcPr>
            <w:tcW w:w="1170" w:type="dxa"/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D709F9" w:rsidRPr="00B44269" w:rsidRDefault="00AA3646" w:rsidP="00D70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4F264B" w:rsidRPr="00B44269" w:rsidTr="00DA7D3C">
        <w:tc>
          <w:tcPr>
            <w:tcW w:w="616" w:type="dxa"/>
          </w:tcPr>
          <w:p w:rsidR="00D709F9" w:rsidRDefault="00D709F9" w:rsidP="00FA6C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2" w:type="dxa"/>
          </w:tcPr>
          <w:p w:rsidR="00D709F9" w:rsidRPr="00B44269" w:rsidRDefault="00D709F9" w:rsidP="00D70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Non-securing of funding for project</w:t>
            </w:r>
            <w:r w:rsidR="005346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0" w:type="dxa"/>
          </w:tcPr>
          <w:p w:rsidR="00D709F9" w:rsidRPr="00B44269" w:rsidRDefault="00D709F9" w:rsidP="00734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Cannot commission Consultants, Contractors or Suppliers.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Works cannot continue, Clai</w:t>
            </w:r>
            <w:r w:rsidR="00734B41">
              <w:rPr>
                <w:rFonts w:ascii="Times New Roman" w:hAnsi="Times New Roman" w:cs="Times New Roman"/>
                <w:sz w:val="20"/>
                <w:szCs w:val="20"/>
              </w:rPr>
              <w:t>ms may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arise.</w:t>
            </w:r>
            <w:proofErr w:type="gramEnd"/>
          </w:p>
        </w:tc>
        <w:tc>
          <w:tcPr>
            <w:tcW w:w="1350" w:type="dxa"/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80" w:type="dxa"/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D709F9" w:rsidRPr="00B44269" w:rsidRDefault="00D709F9" w:rsidP="00D70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the Client secures the requisite funding for the required works and services.</w:t>
            </w:r>
            <w:r w:rsidR="00D2521D">
              <w:rPr>
                <w:rFonts w:ascii="Times New Roman" w:hAnsi="Times New Roman" w:cs="Times New Roman"/>
                <w:sz w:val="20"/>
                <w:szCs w:val="20"/>
              </w:rPr>
              <w:t xml:space="preserve"> Alternatively ensure funding is secured for each stage of the project life cycle.</w:t>
            </w:r>
          </w:p>
        </w:tc>
        <w:tc>
          <w:tcPr>
            <w:tcW w:w="1170" w:type="dxa"/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</w:tcPr>
          <w:p w:rsidR="00D709F9" w:rsidRPr="00B44269" w:rsidRDefault="00D709F9" w:rsidP="00D70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2070" w:type="dxa"/>
          </w:tcPr>
          <w:p w:rsidR="00D709F9" w:rsidRPr="00B44269" w:rsidRDefault="00D709F9" w:rsidP="00D70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Client</w:t>
            </w:r>
          </w:p>
        </w:tc>
      </w:tr>
      <w:tr w:rsidR="005A0DD7" w:rsidRPr="00B44269" w:rsidTr="00DA7D3C">
        <w:tc>
          <w:tcPr>
            <w:tcW w:w="616" w:type="dxa"/>
          </w:tcPr>
          <w:p w:rsidR="005A0DD7" w:rsidRDefault="005A0DD7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2" w:type="dxa"/>
          </w:tcPr>
          <w:p w:rsidR="005A0DD7" w:rsidRDefault="0050779F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Non-a</w:t>
            </w:r>
            <w:r w:rsidR="005A0DD7">
              <w:rPr>
                <w:rFonts w:ascii="Times New Roman" w:hAnsi="Times New Roman" w:cs="Times New Roman"/>
                <w:sz w:val="20"/>
                <w:szCs w:val="20"/>
              </w:rPr>
              <w:t xml:space="preserve">greement on Procurement route regarding various specialists who are required. i.e. Structural, </w:t>
            </w:r>
            <w:r w:rsidR="00D2521D">
              <w:rPr>
                <w:rFonts w:ascii="Times New Roman" w:hAnsi="Times New Roman" w:cs="Times New Roman"/>
                <w:sz w:val="20"/>
                <w:szCs w:val="20"/>
              </w:rPr>
              <w:t xml:space="preserve">Quantity Surveyors, </w:t>
            </w:r>
            <w:r w:rsidR="005A0DD7">
              <w:rPr>
                <w:rFonts w:ascii="Times New Roman" w:hAnsi="Times New Roman" w:cs="Times New Roman"/>
                <w:sz w:val="20"/>
                <w:szCs w:val="20"/>
              </w:rPr>
              <w:t>Services</w:t>
            </w:r>
            <w:r w:rsidR="00D2521D">
              <w:rPr>
                <w:rFonts w:ascii="Times New Roman" w:hAnsi="Times New Roman" w:cs="Times New Roman"/>
                <w:sz w:val="20"/>
                <w:szCs w:val="20"/>
              </w:rPr>
              <w:t>, etc.</w:t>
            </w:r>
          </w:p>
        </w:tc>
        <w:tc>
          <w:tcPr>
            <w:tcW w:w="2790" w:type="dxa"/>
          </w:tcPr>
          <w:p w:rsidR="005A0DD7" w:rsidRDefault="005A0DD7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Delays in procuring required expertise.</w:t>
            </w:r>
            <w:r w:rsidR="00734B41">
              <w:rPr>
                <w:rFonts w:ascii="Times New Roman" w:hAnsi="Times New Roman" w:cs="Times New Roman"/>
                <w:sz w:val="20"/>
                <w:szCs w:val="20"/>
              </w:rPr>
              <w:t xml:space="preserve">  Best suited consultants, quantity surveyors etc. would not be selected for the required works.</w:t>
            </w:r>
          </w:p>
        </w:tc>
        <w:tc>
          <w:tcPr>
            <w:tcW w:w="1350" w:type="dxa"/>
          </w:tcPr>
          <w:p w:rsidR="005A0DD7" w:rsidRDefault="005A0DD7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5A0DD7" w:rsidRDefault="005A0DD7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5A0DD7" w:rsidRDefault="005A0DD7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Obtain agreement internally (i.e.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 </w:t>
            </w:r>
            <w:r w:rsidR="00AA36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3646"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  <w:proofErr w:type="gramEnd"/>
            <w:r w:rsidR="00AA36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pertaining to the method of procurement for the expertise that will be required.</w:t>
            </w:r>
            <w:r w:rsidR="00734B41">
              <w:rPr>
                <w:rFonts w:ascii="Times New Roman" w:hAnsi="Times New Roman" w:cs="Times New Roman"/>
                <w:sz w:val="20"/>
                <w:szCs w:val="20"/>
              </w:rPr>
              <w:t xml:space="preserve">  Review of best procurement approach in the selection of consultants, quantity surveyors et al to undertake the works.</w:t>
            </w: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21D" w:rsidRDefault="00D2521D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5A0DD7" w:rsidRDefault="005A0DD7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</w:tcPr>
          <w:p w:rsidR="005A0DD7" w:rsidRDefault="005A0DD7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5A0DD7" w:rsidRDefault="00AA3646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A05387" w:rsidRPr="00B44269" w:rsidTr="00DA7D3C">
        <w:tc>
          <w:tcPr>
            <w:tcW w:w="616" w:type="dxa"/>
            <w:shd w:val="clear" w:color="auto" w:fill="F79646" w:themeFill="accent6"/>
          </w:tcPr>
          <w:p w:rsidR="005A0DD7" w:rsidRPr="00B44269" w:rsidRDefault="005A0DD7" w:rsidP="005A0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72" w:type="dxa"/>
            <w:shd w:val="clear" w:color="auto" w:fill="F79646" w:themeFill="accent6"/>
          </w:tcPr>
          <w:p w:rsidR="005A0DD7" w:rsidRPr="00B44269" w:rsidRDefault="005A0DD7" w:rsidP="005A0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Identification</w:t>
            </w:r>
          </w:p>
        </w:tc>
        <w:tc>
          <w:tcPr>
            <w:tcW w:w="2790" w:type="dxa"/>
            <w:shd w:val="clear" w:color="auto" w:fill="F79646" w:themeFill="accent6"/>
          </w:tcPr>
          <w:p w:rsidR="005A0DD7" w:rsidRPr="00B44269" w:rsidRDefault="005A0DD7" w:rsidP="005A0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consequences</w:t>
            </w:r>
          </w:p>
        </w:tc>
        <w:tc>
          <w:tcPr>
            <w:tcW w:w="1350" w:type="dxa"/>
            <w:shd w:val="clear" w:color="auto" w:fill="F79646" w:themeFill="accent6"/>
          </w:tcPr>
          <w:p w:rsidR="005A0DD7" w:rsidRPr="00B44269" w:rsidRDefault="005A0DD7" w:rsidP="005A0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occurrence</w:t>
            </w:r>
          </w:p>
          <w:p w:rsidR="005A0DD7" w:rsidRPr="00B44269" w:rsidRDefault="005A0DD7" w:rsidP="00DD0B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080" w:type="dxa"/>
            <w:shd w:val="clear" w:color="auto" w:fill="F79646" w:themeFill="accent6"/>
          </w:tcPr>
          <w:p w:rsidR="005A0DD7" w:rsidRPr="00B44269" w:rsidRDefault="005A0DD7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impact</w:t>
            </w:r>
          </w:p>
          <w:p w:rsidR="005A0DD7" w:rsidRPr="00B44269" w:rsidRDefault="005A0DD7" w:rsidP="005A0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4680" w:type="dxa"/>
            <w:shd w:val="clear" w:color="auto" w:fill="F79646" w:themeFill="accent6"/>
          </w:tcPr>
          <w:p w:rsidR="005A0DD7" w:rsidRPr="00B44269" w:rsidRDefault="005A0DD7" w:rsidP="005A0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mitigation measures</w:t>
            </w:r>
          </w:p>
        </w:tc>
        <w:tc>
          <w:tcPr>
            <w:tcW w:w="1170" w:type="dxa"/>
            <w:shd w:val="clear" w:color="auto" w:fill="F79646" w:themeFill="accent6"/>
          </w:tcPr>
          <w:p w:rsidR="005A0DD7" w:rsidRPr="00B44269" w:rsidRDefault="005A0DD7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Cost to mitigate</w:t>
            </w:r>
          </w:p>
          <w:p w:rsidR="005A0DD7" w:rsidRPr="00B44269" w:rsidRDefault="005A0DD7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530" w:type="dxa"/>
            <w:shd w:val="clear" w:color="auto" w:fill="F79646" w:themeFill="accent6"/>
          </w:tcPr>
          <w:p w:rsidR="005A0DD7" w:rsidRPr="00B44269" w:rsidRDefault="005A0DD7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success</w:t>
            </w:r>
          </w:p>
          <w:p w:rsidR="005A0DD7" w:rsidRPr="00B44269" w:rsidRDefault="005A0DD7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2070" w:type="dxa"/>
            <w:shd w:val="clear" w:color="auto" w:fill="F79646" w:themeFill="accent6"/>
          </w:tcPr>
          <w:p w:rsidR="005A0DD7" w:rsidRPr="00B44269" w:rsidRDefault="005A0DD7" w:rsidP="005A0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Responsibility</w:t>
            </w:r>
          </w:p>
        </w:tc>
      </w:tr>
      <w:tr w:rsidR="005A0DD7" w:rsidRPr="00B44269" w:rsidTr="00DA7D3C">
        <w:tc>
          <w:tcPr>
            <w:tcW w:w="616" w:type="dxa"/>
          </w:tcPr>
          <w:p w:rsidR="005A0DD7" w:rsidRDefault="00A05387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2" w:type="dxa"/>
          </w:tcPr>
          <w:p w:rsidR="005A0DD7" w:rsidRDefault="0050779F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Non-t</w:t>
            </w:r>
            <w:r w:rsidR="003A59C7">
              <w:rPr>
                <w:rFonts w:ascii="Times New Roman" w:hAnsi="Times New Roman" w:cs="Times New Roman"/>
                <w:sz w:val="20"/>
                <w:szCs w:val="20"/>
              </w:rPr>
              <w:t>imely p</w:t>
            </w:r>
            <w:r w:rsidR="005F3265">
              <w:rPr>
                <w:rFonts w:ascii="Times New Roman" w:hAnsi="Times New Roman" w:cs="Times New Roman"/>
                <w:sz w:val="20"/>
                <w:szCs w:val="20"/>
              </w:rPr>
              <w:t xml:space="preserve">rocurement of Consultants </w:t>
            </w:r>
            <w:r w:rsidR="00821B18">
              <w:rPr>
                <w:rFonts w:ascii="Times New Roman" w:hAnsi="Times New Roman" w:cs="Times New Roman"/>
                <w:sz w:val="20"/>
                <w:szCs w:val="20"/>
              </w:rPr>
              <w:t>&amp; Quantity Surveyors</w:t>
            </w:r>
          </w:p>
        </w:tc>
        <w:tc>
          <w:tcPr>
            <w:tcW w:w="2790" w:type="dxa"/>
          </w:tcPr>
          <w:p w:rsidR="005A0DD7" w:rsidRDefault="00134E34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Designs cannot proceed and be completed in a timely manner.</w:t>
            </w:r>
          </w:p>
        </w:tc>
        <w:tc>
          <w:tcPr>
            <w:tcW w:w="1350" w:type="dxa"/>
          </w:tcPr>
          <w:p w:rsidR="005A0DD7" w:rsidRDefault="00134E34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5A0DD7" w:rsidRDefault="00134E34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5A0DD7" w:rsidRDefault="00134E34" w:rsidP="000F6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that </w:t>
            </w:r>
            <w:r w:rsidR="000F6736">
              <w:rPr>
                <w:rFonts w:ascii="Times New Roman" w:hAnsi="Times New Roman" w:cs="Times New Roman"/>
                <w:sz w:val="20"/>
                <w:szCs w:val="20"/>
              </w:rPr>
              <w:t>suitable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personnel, consultants, quantity surveyors etc. are selected through the </w:t>
            </w:r>
            <w:r w:rsidR="000F6736">
              <w:rPr>
                <w:rFonts w:ascii="Times New Roman" w:hAnsi="Times New Roman" w:cs="Times New Roman"/>
                <w:sz w:val="20"/>
                <w:szCs w:val="20"/>
              </w:rPr>
              <w:t>company’s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procurement process. Ensure that all contracts are </w:t>
            </w:r>
            <w:r w:rsidR="000F6736">
              <w:rPr>
                <w:rFonts w:ascii="Times New Roman" w:hAnsi="Times New Roman" w:cs="Times New Roman"/>
                <w:sz w:val="20"/>
                <w:szCs w:val="20"/>
              </w:rPr>
              <w:t>suitable and sound.</w:t>
            </w:r>
          </w:p>
        </w:tc>
        <w:tc>
          <w:tcPr>
            <w:tcW w:w="1170" w:type="dxa"/>
          </w:tcPr>
          <w:p w:rsidR="005A0DD7" w:rsidRDefault="00134E34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30" w:type="dxa"/>
          </w:tcPr>
          <w:p w:rsidR="005A0DD7" w:rsidRDefault="00134E34" w:rsidP="005A0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5A0DD7" w:rsidRDefault="00AA3646" w:rsidP="005A0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134E34" w:rsidRPr="00B44269" w:rsidTr="00DA7D3C">
        <w:tc>
          <w:tcPr>
            <w:tcW w:w="616" w:type="dxa"/>
          </w:tcPr>
          <w:p w:rsidR="00134E34" w:rsidRDefault="00134E3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2" w:type="dxa"/>
          </w:tcPr>
          <w:p w:rsidR="00134E34" w:rsidRDefault="0050779F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Non-s</w:t>
            </w:r>
            <w:r w:rsidR="00134E34">
              <w:rPr>
                <w:rFonts w:ascii="Times New Roman" w:hAnsi="Times New Roman" w:cs="Times New Roman"/>
                <w:sz w:val="20"/>
                <w:szCs w:val="20"/>
              </w:rPr>
              <w:t>election of proper contract form(s)</w:t>
            </w:r>
          </w:p>
        </w:tc>
        <w:tc>
          <w:tcPr>
            <w:tcW w:w="2790" w:type="dxa"/>
          </w:tcPr>
          <w:p w:rsidR="00134E34" w:rsidRDefault="00225FA7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Poorly written contract forms, or inappropriate contract types would result in difficulties in enforcement of requirements to achieve planning success.</w:t>
            </w:r>
          </w:p>
        </w:tc>
        <w:tc>
          <w:tcPr>
            <w:tcW w:w="1350" w:type="dxa"/>
          </w:tcPr>
          <w:p w:rsidR="00134E34" w:rsidRDefault="00225FA7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134E34" w:rsidRDefault="00225FA7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134E34" w:rsidRDefault="00225FA7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Hold discussions regarding the contract selection for the relative disciplines and ensure that there are solid clauses within those contracts</w:t>
            </w:r>
            <w:r w:rsidR="000F6736">
              <w:rPr>
                <w:rFonts w:ascii="Times New Roman" w:hAnsi="Times New Roman" w:cs="Times New Roman"/>
                <w:sz w:val="20"/>
                <w:szCs w:val="20"/>
              </w:rPr>
              <w:t>. Obtain approval from the Tenders Committee for applicable contract form(s).</w:t>
            </w:r>
          </w:p>
        </w:tc>
        <w:tc>
          <w:tcPr>
            <w:tcW w:w="1170" w:type="dxa"/>
          </w:tcPr>
          <w:p w:rsidR="00134E34" w:rsidRDefault="00225FA7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30" w:type="dxa"/>
          </w:tcPr>
          <w:p w:rsidR="00134E34" w:rsidRDefault="00225FA7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134E34" w:rsidRDefault="00AA3646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134E34" w:rsidRPr="00B44269" w:rsidTr="00DA7D3C">
        <w:tc>
          <w:tcPr>
            <w:tcW w:w="616" w:type="dxa"/>
          </w:tcPr>
          <w:p w:rsidR="00134E34" w:rsidRDefault="00134E3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2" w:type="dxa"/>
          </w:tcPr>
          <w:p w:rsidR="00134E34" w:rsidRDefault="0050779F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Lack of coordination </w:t>
            </w:r>
            <w:r w:rsidR="00134E34">
              <w:rPr>
                <w:rFonts w:ascii="Times New Roman" w:hAnsi="Times New Roman" w:cs="Times New Roman"/>
                <w:sz w:val="20"/>
                <w:szCs w:val="20"/>
              </w:rPr>
              <w:t>with consultants &amp; quantity surveyors</w:t>
            </w:r>
            <w:r w:rsidR="00180464">
              <w:rPr>
                <w:rFonts w:ascii="Times New Roman" w:hAnsi="Times New Roman" w:cs="Times New Roman"/>
                <w:sz w:val="20"/>
                <w:szCs w:val="20"/>
              </w:rPr>
              <w:t xml:space="preserve"> etc.</w:t>
            </w:r>
          </w:p>
        </w:tc>
        <w:tc>
          <w:tcPr>
            <w:tcW w:w="2790" w:type="dxa"/>
          </w:tcPr>
          <w:p w:rsidR="00134E34" w:rsidRPr="00DD0B35" w:rsidRDefault="00DD0B35" w:rsidP="00DD0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B35">
              <w:rPr>
                <w:rFonts w:ascii="Times New Roman" w:hAnsi="Times New Roman" w:cs="Times New Roman"/>
                <w:sz w:val="20"/>
                <w:szCs w:val="20"/>
              </w:rPr>
              <w:t xml:space="preserve">Tardy delivery of designs, designs which are inconsistent with Client requirements 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omissions.</w:t>
            </w:r>
          </w:p>
        </w:tc>
        <w:tc>
          <w:tcPr>
            <w:tcW w:w="1350" w:type="dxa"/>
          </w:tcPr>
          <w:p w:rsidR="00134E34" w:rsidRDefault="007165D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134E34" w:rsidRDefault="00DD0B35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134E34" w:rsidRDefault="00DD0B35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Periodic and consistent review of consultant(s) designs and deliverables to ensure that it is in keeping with the Client’s requirements</w:t>
            </w:r>
            <w:r w:rsidR="00EC02C5">
              <w:rPr>
                <w:rFonts w:ascii="Times New Roman" w:hAnsi="Times New Roman" w:cs="Times New Roman"/>
                <w:sz w:val="20"/>
                <w:szCs w:val="20"/>
              </w:rPr>
              <w:t>, user brief and scope of works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134E34" w:rsidRDefault="00DD0B35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30" w:type="dxa"/>
          </w:tcPr>
          <w:p w:rsidR="00134E34" w:rsidRDefault="00DD0B35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134E34" w:rsidRDefault="00AA3646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134E34" w:rsidRPr="00B44269" w:rsidTr="00DA7D3C">
        <w:tc>
          <w:tcPr>
            <w:tcW w:w="616" w:type="dxa"/>
          </w:tcPr>
          <w:p w:rsidR="00134E34" w:rsidRDefault="00134E3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2" w:type="dxa"/>
          </w:tcPr>
          <w:p w:rsidR="00134E34" w:rsidRDefault="0050779F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Lack of c</w:t>
            </w:r>
            <w:r w:rsidR="00134E34">
              <w:rPr>
                <w:rFonts w:ascii="Times New Roman" w:hAnsi="Times New Roman" w:cs="Times New Roman"/>
                <w:sz w:val="20"/>
                <w:szCs w:val="20"/>
              </w:rPr>
              <w:t>ommunication systems between all parties involved</w:t>
            </w:r>
          </w:p>
        </w:tc>
        <w:tc>
          <w:tcPr>
            <w:tcW w:w="2790" w:type="dxa"/>
          </w:tcPr>
          <w:p w:rsidR="00134E34" w:rsidRDefault="00F52BEB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Communication breakdown, lack of information sharing.</w:t>
            </w:r>
          </w:p>
        </w:tc>
        <w:tc>
          <w:tcPr>
            <w:tcW w:w="1350" w:type="dxa"/>
          </w:tcPr>
          <w:p w:rsidR="00134E34" w:rsidRDefault="007165D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134E34" w:rsidRDefault="00F52BEB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134E34" w:rsidRDefault="00F52BEB" w:rsidP="00F52BE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2BEB">
              <w:rPr>
                <w:rFonts w:ascii="Times New Roman" w:hAnsi="Times New Roman" w:cs="Times New Roman"/>
                <w:sz w:val="20"/>
                <w:szCs w:val="20"/>
              </w:rPr>
              <w:t>Ensure that there is a proper communication sharing system</w:t>
            </w:r>
            <w:r w:rsidR="00EC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2BEB" w:rsidRDefault="00F52BEB" w:rsidP="00F52BE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all parties “buy-into” communication sharing</w:t>
            </w:r>
            <w:r w:rsidR="00EC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2BEB" w:rsidRPr="00F52BEB" w:rsidRDefault="00DD0B35" w:rsidP="00F52BE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Define communication means at project start</w:t>
            </w:r>
            <w:r w:rsidR="00EC02C5">
              <w:rPr>
                <w:rFonts w:ascii="Times New Roman" w:hAnsi="Times New Roman" w:cs="Times New Roman"/>
                <w:sz w:val="20"/>
                <w:szCs w:val="20"/>
              </w:rPr>
              <w:t xml:space="preserve"> for each reporting level.</w:t>
            </w:r>
          </w:p>
        </w:tc>
        <w:tc>
          <w:tcPr>
            <w:tcW w:w="1170" w:type="dxa"/>
          </w:tcPr>
          <w:p w:rsidR="00134E34" w:rsidRDefault="00DD0B35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</w:tcPr>
          <w:p w:rsidR="00134E34" w:rsidRDefault="00DD0B35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134E34" w:rsidRDefault="00AA3646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  <w:r w:rsidR="00DD0B35">
              <w:rPr>
                <w:rFonts w:ascii="Times New Roman" w:hAnsi="Times New Roman" w:cs="Times New Roman"/>
                <w:sz w:val="20"/>
                <w:szCs w:val="20"/>
              </w:rPr>
              <w:t>/Consultants</w:t>
            </w:r>
            <w:r w:rsidR="0050779F">
              <w:rPr>
                <w:rFonts w:ascii="Times New Roman" w:hAnsi="Times New Roman" w:cs="Times New Roman"/>
                <w:sz w:val="20"/>
                <w:szCs w:val="20"/>
              </w:rPr>
              <w:t>/Client</w:t>
            </w:r>
          </w:p>
        </w:tc>
      </w:tr>
      <w:tr w:rsidR="00134E34" w:rsidRPr="00B44269" w:rsidTr="00DA7D3C">
        <w:tc>
          <w:tcPr>
            <w:tcW w:w="616" w:type="dxa"/>
          </w:tcPr>
          <w:p w:rsidR="00134E34" w:rsidRDefault="00134E3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2" w:type="dxa"/>
          </w:tcPr>
          <w:p w:rsidR="00134E34" w:rsidRDefault="0050779F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Confusion or conflicts </w:t>
            </w:r>
            <w:r w:rsidR="00134E34">
              <w:rPr>
                <w:rFonts w:ascii="Times New Roman" w:hAnsi="Times New Roman" w:cs="Times New Roman"/>
                <w:sz w:val="20"/>
                <w:szCs w:val="20"/>
              </w:rPr>
              <w:t>regarding roles and responsibilities</w:t>
            </w:r>
          </w:p>
        </w:tc>
        <w:tc>
          <w:tcPr>
            <w:tcW w:w="2790" w:type="dxa"/>
          </w:tcPr>
          <w:p w:rsidR="00134E34" w:rsidRDefault="00570E23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Conflicts regarding roles and responsibilities, overlapping responsibilities and omission of important items of work </w:t>
            </w:r>
            <w:r w:rsidR="00D53389">
              <w:rPr>
                <w:rFonts w:ascii="Times New Roman" w:hAnsi="Times New Roman" w:cs="Times New Roman"/>
                <w:sz w:val="20"/>
                <w:szCs w:val="20"/>
              </w:rPr>
              <w:t>due to unclear roles being defined.</w:t>
            </w:r>
          </w:p>
        </w:tc>
        <w:tc>
          <w:tcPr>
            <w:tcW w:w="1350" w:type="dxa"/>
          </w:tcPr>
          <w:p w:rsidR="00134E34" w:rsidRDefault="00D53389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80" w:type="dxa"/>
          </w:tcPr>
          <w:p w:rsidR="00134E34" w:rsidRDefault="00D53389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134E34" w:rsidRDefault="00D53389" w:rsidP="00D533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Clearly define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structure(s) for project</w:t>
            </w:r>
            <w:r w:rsidR="00EC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53389" w:rsidRPr="00D53389" w:rsidRDefault="00D53389" w:rsidP="00D533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Clearly define roles and responsibilities and ensure that all parties are aware of their roles, responsibilities and Clients expectations from each entity.</w:t>
            </w:r>
          </w:p>
        </w:tc>
        <w:tc>
          <w:tcPr>
            <w:tcW w:w="1170" w:type="dxa"/>
          </w:tcPr>
          <w:p w:rsidR="00134E34" w:rsidRDefault="00D53389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</w:tcPr>
          <w:p w:rsidR="00134E34" w:rsidRDefault="00D53389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134E34" w:rsidRDefault="00AA3646" w:rsidP="00D533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Client/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134E34" w:rsidRPr="00B44269" w:rsidTr="00DA7D3C">
        <w:tc>
          <w:tcPr>
            <w:tcW w:w="616" w:type="dxa"/>
          </w:tcPr>
          <w:p w:rsidR="00134E34" w:rsidRDefault="00134E3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2" w:type="dxa"/>
          </w:tcPr>
          <w:p w:rsidR="00134E34" w:rsidRDefault="0050779F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  <w:r w:rsidR="009E08EE"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r w:rsidR="00134E34">
              <w:rPr>
                <w:rFonts w:ascii="Times New Roman" w:hAnsi="Times New Roman" w:cs="Times New Roman"/>
                <w:sz w:val="20"/>
                <w:szCs w:val="20"/>
              </w:rPr>
              <w:t>chieving of milestones</w:t>
            </w:r>
          </w:p>
        </w:tc>
        <w:tc>
          <w:tcPr>
            <w:tcW w:w="2790" w:type="dxa"/>
          </w:tcPr>
          <w:p w:rsidR="00134E34" w:rsidRDefault="00180464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Project delays</w:t>
            </w:r>
            <w:r w:rsidR="00553C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</w:tcPr>
          <w:p w:rsidR="00134E34" w:rsidRDefault="0018046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80" w:type="dxa"/>
          </w:tcPr>
          <w:p w:rsidR="00134E34" w:rsidRDefault="0018046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134E34" w:rsidRDefault="00180464" w:rsidP="001804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contracts explicitly state that project delays would be unacceptable and include for penalties</w:t>
            </w:r>
            <w:r w:rsidR="00EC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80464" w:rsidRDefault="00180464" w:rsidP="001804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Payments could be made based on achieved milestones</w:t>
            </w:r>
            <w:r w:rsidR="00EC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80464" w:rsidRPr="00180464" w:rsidRDefault="00180464" w:rsidP="0018046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Careful monitoring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(s) of works</w:t>
            </w:r>
            <w:r w:rsidR="00EC02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134E34" w:rsidRDefault="0018046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</w:tcPr>
          <w:p w:rsidR="00134E34" w:rsidRDefault="0018046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134E34" w:rsidRDefault="00AA3646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="00180464">
              <w:rPr>
                <w:rFonts w:ascii="Times New Roman" w:hAnsi="Times New Roman" w:cs="Times New Roman"/>
                <w:sz w:val="20"/>
                <w:szCs w:val="20"/>
              </w:rPr>
              <w:t>/ Consultants/ Architects/ Quantity Surveyors/ et al</w:t>
            </w:r>
          </w:p>
        </w:tc>
      </w:tr>
      <w:tr w:rsidR="00134E34" w:rsidRPr="00B44269" w:rsidTr="00DA7D3C">
        <w:tc>
          <w:tcPr>
            <w:tcW w:w="616" w:type="dxa"/>
          </w:tcPr>
          <w:p w:rsidR="00134E34" w:rsidRDefault="00134E34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2" w:type="dxa"/>
          </w:tcPr>
          <w:p w:rsidR="00134E34" w:rsidRDefault="00B41A20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Lack of </w:t>
            </w:r>
            <w:r w:rsidR="00134E34">
              <w:rPr>
                <w:rFonts w:ascii="Times New Roman" w:hAnsi="Times New Roman" w:cs="Times New Roman"/>
                <w:sz w:val="20"/>
                <w:szCs w:val="20"/>
              </w:rPr>
              <w:t>Information sharing</w:t>
            </w:r>
          </w:p>
        </w:tc>
        <w:tc>
          <w:tcPr>
            <w:tcW w:w="2790" w:type="dxa"/>
          </w:tcPr>
          <w:p w:rsidR="00134E34" w:rsidRDefault="00B41A20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Disconnect between all parties involved. Delays in project.</w:t>
            </w:r>
          </w:p>
        </w:tc>
        <w:tc>
          <w:tcPr>
            <w:tcW w:w="1350" w:type="dxa"/>
          </w:tcPr>
          <w:p w:rsidR="00134E34" w:rsidRDefault="00B41A20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80" w:type="dxa"/>
          </w:tcPr>
          <w:p w:rsidR="00134E34" w:rsidRDefault="00B41A20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134E34" w:rsidRDefault="00B41A20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Develop information sharing mechanism for project which is accessible for all parties.</w:t>
            </w:r>
          </w:p>
          <w:p w:rsidR="009E08EE" w:rsidRDefault="009E08EE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8EE" w:rsidRDefault="009E08EE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8EE" w:rsidRDefault="009E08EE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134E34" w:rsidRDefault="00B41A20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30" w:type="dxa"/>
          </w:tcPr>
          <w:p w:rsidR="00134E34" w:rsidRDefault="00B41A20" w:rsidP="00134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134E34" w:rsidRDefault="00AA3646" w:rsidP="0013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All Parties – Client/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  <w:r w:rsidR="00B41A20">
              <w:rPr>
                <w:rFonts w:ascii="Times New Roman" w:hAnsi="Times New Roman" w:cs="Times New Roman"/>
                <w:sz w:val="20"/>
                <w:szCs w:val="20"/>
              </w:rPr>
              <w:t>/ Consultants et al.</w:t>
            </w:r>
          </w:p>
        </w:tc>
      </w:tr>
      <w:tr w:rsidR="008C633A" w:rsidRPr="00B44269" w:rsidTr="00DA7D3C">
        <w:tc>
          <w:tcPr>
            <w:tcW w:w="616" w:type="dxa"/>
            <w:shd w:val="clear" w:color="auto" w:fill="F79646" w:themeFill="accent6"/>
          </w:tcPr>
          <w:p w:rsidR="008C633A" w:rsidRPr="00B44269" w:rsidRDefault="008C633A" w:rsidP="008C63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72" w:type="dxa"/>
            <w:shd w:val="clear" w:color="auto" w:fill="F79646" w:themeFill="accent6"/>
          </w:tcPr>
          <w:p w:rsidR="008C633A" w:rsidRPr="00B44269" w:rsidRDefault="008C633A" w:rsidP="008C63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Identification</w:t>
            </w:r>
          </w:p>
        </w:tc>
        <w:tc>
          <w:tcPr>
            <w:tcW w:w="2790" w:type="dxa"/>
            <w:shd w:val="clear" w:color="auto" w:fill="F79646" w:themeFill="accent6"/>
          </w:tcPr>
          <w:p w:rsidR="008C633A" w:rsidRPr="00B44269" w:rsidRDefault="008C633A" w:rsidP="008C63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consequences</w:t>
            </w:r>
          </w:p>
        </w:tc>
        <w:tc>
          <w:tcPr>
            <w:tcW w:w="1350" w:type="dxa"/>
            <w:shd w:val="clear" w:color="auto" w:fill="F79646" w:themeFill="accent6"/>
          </w:tcPr>
          <w:p w:rsidR="008C633A" w:rsidRPr="00B44269" w:rsidRDefault="008C633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occurrence</w:t>
            </w:r>
          </w:p>
          <w:p w:rsidR="008C633A" w:rsidRPr="00B44269" w:rsidRDefault="008C633A" w:rsidP="008C63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080" w:type="dxa"/>
            <w:shd w:val="clear" w:color="auto" w:fill="F79646" w:themeFill="accent6"/>
          </w:tcPr>
          <w:p w:rsidR="008C633A" w:rsidRPr="00B44269" w:rsidRDefault="008C633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impact</w:t>
            </w:r>
          </w:p>
          <w:p w:rsidR="008C633A" w:rsidRPr="00B44269" w:rsidRDefault="008C633A" w:rsidP="008C63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4680" w:type="dxa"/>
            <w:shd w:val="clear" w:color="auto" w:fill="F79646" w:themeFill="accent6"/>
          </w:tcPr>
          <w:p w:rsidR="008C633A" w:rsidRPr="00B44269" w:rsidRDefault="008C633A" w:rsidP="008C63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mitigation measures</w:t>
            </w:r>
          </w:p>
        </w:tc>
        <w:tc>
          <w:tcPr>
            <w:tcW w:w="1170" w:type="dxa"/>
            <w:shd w:val="clear" w:color="auto" w:fill="F79646" w:themeFill="accent6"/>
          </w:tcPr>
          <w:p w:rsidR="008C633A" w:rsidRPr="00B44269" w:rsidRDefault="008C633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Cost to mitigate</w:t>
            </w:r>
          </w:p>
          <w:p w:rsidR="008C633A" w:rsidRPr="00B44269" w:rsidRDefault="008C633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530" w:type="dxa"/>
            <w:shd w:val="clear" w:color="auto" w:fill="F79646" w:themeFill="accent6"/>
          </w:tcPr>
          <w:p w:rsidR="008C633A" w:rsidRPr="00B44269" w:rsidRDefault="008C633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success</w:t>
            </w:r>
          </w:p>
          <w:p w:rsidR="008C633A" w:rsidRPr="00B44269" w:rsidRDefault="008C633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2070" w:type="dxa"/>
            <w:shd w:val="clear" w:color="auto" w:fill="F79646" w:themeFill="accent6"/>
          </w:tcPr>
          <w:p w:rsidR="008C633A" w:rsidRPr="00B44269" w:rsidRDefault="008C633A" w:rsidP="008C633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Responsibility</w:t>
            </w:r>
          </w:p>
        </w:tc>
      </w:tr>
      <w:tr w:rsidR="008C633A" w:rsidRPr="00B44269" w:rsidTr="00DA7D3C">
        <w:tc>
          <w:tcPr>
            <w:tcW w:w="616" w:type="dxa"/>
          </w:tcPr>
          <w:p w:rsidR="008C633A" w:rsidRDefault="008C633A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2" w:type="dxa"/>
          </w:tcPr>
          <w:p w:rsidR="008C633A" w:rsidRDefault="008C633A" w:rsidP="008C6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Document management &amp; record keeping</w:t>
            </w:r>
          </w:p>
        </w:tc>
        <w:tc>
          <w:tcPr>
            <w:tcW w:w="2790" w:type="dxa"/>
          </w:tcPr>
          <w:p w:rsidR="008C633A" w:rsidRDefault="00DF3F0F" w:rsidP="00DF3F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Loss of important information</w:t>
            </w:r>
          </w:p>
          <w:p w:rsidR="00DF3F0F" w:rsidRDefault="00DF3F0F" w:rsidP="00DF3F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Failure in document management</w:t>
            </w:r>
          </w:p>
          <w:p w:rsidR="00DF3F0F" w:rsidRPr="00DF3F0F" w:rsidRDefault="00DF3F0F" w:rsidP="00DF3F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Transferability of information is hindered</w:t>
            </w:r>
          </w:p>
        </w:tc>
        <w:tc>
          <w:tcPr>
            <w:tcW w:w="1350" w:type="dxa"/>
          </w:tcPr>
          <w:p w:rsidR="008C633A" w:rsidRDefault="00DF3F0F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8C633A" w:rsidRDefault="00DF3F0F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8C633A" w:rsidRDefault="00DF3F0F" w:rsidP="00EC02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C02C5">
              <w:rPr>
                <w:rFonts w:ascii="Times New Roman" w:hAnsi="Times New Roman" w:cs="Times New Roman"/>
                <w:sz w:val="20"/>
                <w:szCs w:val="20"/>
              </w:rPr>
              <w:t>Ensure proper records are kept, ensure filing is adequately undertaken.</w:t>
            </w:r>
          </w:p>
          <w:p w:rsidR="00EC02C5" w:rsidRPr="00EC02C5" w:rsidRDefault="00EC02C5" w:rsidP="00EC02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there is quick, defined and accurate dissemination of information.</w:t>
            </w:r>
          </w:p>
        </w:tc>
        <w:tc>
          <w:tcPr>
            <w:tcW w:w="1170" w:type="dxa"/>
          </w:tcPr>
          <w:p w:rsidR="008C633A" w:rsidRDefault="00DF3F0F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</w:tcPr>
          <w:p w:rsidR="008C633A" w:rsidRDefault="00DF3F0F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8C633A" w:rsidRDefault="00AA3646" w:rsidP="008C6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8C633A" w:rsidRPr="00B44269" w:rsidTr="00DA7D3C">
        <w:tc>
          <w:tcPr>
            <w:tcW w:w="616" w:type="dxa"/>
          </w:tcPr>
          <w:p w:rsidR="008C633A" w:rsidRDefault="008C633A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2" w:type="dxa"/>
          </w:tcPr>
          <w:p w:rsidR="008C633A" w:rsidRDefault="008C633A" w:rsidP="008C6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Timely payment for consultants and quantity surveyors</w:t>
            </w:r>
          </w:p>
        </w:tc>
        <w:tc>
          <w:tcPr>
            <w:tcW w:w="2790" w:type="dxa"/>
          </w:tcPr>
          <w:p w:rsidR="008C633A" w:rsidRDefault="00DF3F0F" w:rsidP="00DF3F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3F0F">
              <w:rPr>
                <w:rFonts w:ascii="Times New Roman" w:hAnsi="Times New Roman" w:cs="Times New Roman"/>
                <w:sz w:val="20"/>
                <w:szCs w:val="20"/>
              </w:rPr>
              <w:t>Delays in issuance of deliverables.</w:t>
            </w:r>
          </w:p>
          <w:p w:rsidR="00DF3F0F" w:rsidRPr="00DF3F0F" w:rsidRDefault="00DF3F0F" w:rsidP="00DF3F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Litigation &amp; Claims</w:t>
            </w:r>
          </w:p>
        </w:tc>
        <w:tc>
          <w:tcPr>
            <w:tcW w:w="1350" w:type="dxa"/>
          </w:tcPr>
          <w:p w:rsidR="008C633A" w:rsidRDefault="00DF3F0F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80" w:type="dxa"/>
          </w:tcPr>
          <w:p w:rsidR="008C633A" w:rsidRDefault="00DF3F0F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8C633A" w:rsidRDefault="00DF3F0F" w:rsidP="00DF3F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the Client secures the required funding prior to the engagement of services from various parties.</w:t>
            </w:r>
          </w:p>
          <w:p w:rsidR="00DF3F0F" w:rsidRDefault="00DF3F0F" w:rsidP="00DF3F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all necessary paper work is processed in a timely manner so that payments can be made to the relevant consultants, architects et al.</w:t>
            </w:r>
          </w:p>
          <w:p w:rsidR="00EC02C5" w:rsidRPr="00DF3F0F" w:rsidRDefault="00EC02C5" w:rsidP="00DF3F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payments are available and processed and paid within the Fiscal period.</w:t>
            </w:r>
          </w:p>
        </w:tc>
        <w:tc>
          <w:tcPr>
            <w:tcW w:w="1170" w:type="dxa"/>
          </w:tcPr>
          <w:p w:rsidR="008C633A" w:rsidRDefault="00DF3F0F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</w:tcPr>
          <w:p w:rsidR="008C633A" w:rsidRDefault="00DF3F0F" w:rsidP="008C6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8C633A" w:rsidRDefault="00DF3F0F" w:rsidP="008C6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Client / </w:t>
            </w:r>
            <w:r w:rsidR="00AA3646"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7202B6" w:rsidRPr="00B44269" w:rsidTr="00DA7D3C">
        <w:tc>
          <w:tcPr>
            <w:tcW w:w="616" w:type="dxa"/>
          </w:tcPr>
          <w:p w:rsidR="007202B6" w:rsidRDefault="007202B6" w:rsidP="00720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2" w:type="dxa"/>
          </w:tcPr>
          <w:p w:rsidR="007202B6" w:rsidRDefault="007202B6" w:rsidP="00720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Management of Client changes (design preferences)</w:t>
            </w:r>
          </w:p>
        </w:tc>
        <w:tc>
          <w:tcPr>
            <w:tcW w:w="2790" w:type="dxa"/>
          </w:tcPr>
          <w:p w:rsidR="007202B6" w:rsidRDefault="007202B6" w:rsidP="00720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Design changes and cost increases, project execution delays.</w:t>
            </w:r>
          </w:p>
        </w:tc>
        <w:tc>
          <w:tcPr>
            <w:tcW w:w="1350" w:type="dxa"/>
          </w:tcPr>
          <w:p w:rsidR="007202B6" w:rsidRDefault="007202B6" w:rsidP="00720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80" w:type="dxa"/>
          </w:tcPr>
          <w:p w:rsidR="007202B6" w:rsidRDefault="007202B6" w:rsidP="00720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80" w:type="dxa"/>
          </w:tcPr>
          <w:p w:rsidR="007202B6" w:rsidRDefault="007202B6" w:rsidP="00720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Scope of Works is approved by the Client and create change order process.</w:t>
            </w:r>
          </w:p>
          <w:p w:rsidR="007202B6" w:rsidRDefault="007202B6" w:rsidP="00720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proper documents are kept as it pertains to variations / changes at the design stage.</w:t>
            </w:r>
          </w:p>
          <w:p w:rsidR="007202B6" w:rsidRDefault="007202B6" w:rsidP="008E5E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Develop standardized forms for changes, which includes, cost, time and other increases if necessary (vice versa as well).</w:t>
            </w:r>
          </w:p>
          <w:p w:rsidR="008E5EE5" w:rsidRPr="008E5EE5" w:rsidRDefault="008E5EE5" w:rsidP="008E5E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7202B6" w:rsidRDefault="007202B6" w:rsidP="00720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30" w:type="dxa"/>
          </w:tcPr>
          <w:p w:rsidR="007202B6" w:rsidRDefault="007202B6" w:rsidP="00720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2070" w:type="dxa"/>
          </w:tcPr>
          <w:p w:rsidR="007202B6" w:rsidRDefault="007202B6" w:rsidP="00720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Client / </w:t>
            </w:r>
            <w:r w:rsidR="00AA3646"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</w:tbl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ED112E" w:rsidRDefault="00ED112E" w:rsidP="00D709F9">
      <w:pPr>
        <w:rPr>
          <w:rFonts w:ascii="Times New Roman" w:hAnsi="Times New Roman" w:cs="Times New Roman"/>
          <w:sz w:val="20"/>
          <w:szCs w:val="20"/>
        </w:rPr>
      </w:pPr>
    </w:p>
    <w:p w:rsidR="008E5EE5" w:rsidRDefault="008E5EE5" w:rsidP="00D709F9">
      <w:pPr>
        <w:rPr>
          <w:rFonts w:ascii="Times New Roman" w:hAnsi="Times New Roman" w:cs="Times New Roman"/>
          <w:sz w:val="20"/>
          <w:szCs w:val="20"/>
        </w:rPr>
      </w:pPr>
    </w:p>
    <w:p w:rsidR="008E5EE5" w:rsidRDefault="008E5EE5" w:rsidP="00D709F9">
      <w:pPr>
        <w:rPr>
          <w:rFonts w:ascii="Times New Roman" w:hAnsi="Times New Roman" w:cs="Times New Roman"/>
          <w:sz w:val="20"/>
          <w:szCs w:val="20"/>
        </w:rPr>
      </w:pPr>
    </w:p>
    <w:p w:rsidR="008E5EE5" w:rsidRDefault="008E5EE5" w:rsidP="00D709F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7658" w:type="dxa"/>
        <w:tblLook w:val="04A0" w:firstRow="1" w:lastRow="0" w:firstColumn="1" w:lastColumn="0" w:noHBand="0" w:noVBand="1"/>
      </w:tblPr>
      <w:tblGrid>
        <w:gridCol w:w="905"/>
        <w:gridCol w:w="2318"/>
        <w:gridCol w:w="2757"/>
        <w:gridCol w:w="1341"/>
        <w:gridCol w:w="1075"/>
        <w:gridCol w:w="4545"/>
        <w:gridCol w:w="1171"/>
        <w:gridCol w:w="1511"/>
        <w:gridCol w:w="2035"/>
      </w:tblGrid>
      <w:tr w:rsidR="00E5397E" w:rsidTr="00DD4B87">
        <w:tc>
          <w:tcPr>
            <w:tcW w:w="0" w:type="auto"/>
            <w:shd w:val="clear" w:color="auto" w:fill="9BBB59" w:themeFill="accent3"/>
          </w:tcPr>
          <w:p w:rsidR="00CE78FA" w:rsidRPr="00B44269" w:rsidRDefault="00CE78FA" w:rsidP="00CE78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18" w:type="dxa"/>
            <w:shd w:val="clear" w:color="auto" w:fill="9BBB59" w:themeFill="accent3"/>
          </w:tcPr>
          <w:p w:rsidR="00CE78FA" w:rsidRPr="00B44269" w:rsidRDefault="00CE78FA" w:rsidP="00CE7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Identification</w:t>
            </w:r>
          </w:p>
        </w:tc>
        <w:tc>
          <w:tcPr>
            <w:tcW w:w="2757" w:type="dxa"/>
            <w:shd w:val="clear" w:color="auto" w:fill="9BBB59" w:themeFill="accent3"/>
          </w:tcPr>
          <w:p w:rsidR="00CE78FA" w:rsidRPr="00B44269" w:rsidRDefault="00CE78FA" w:rsidP="00CE7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consequences</w:t>
            </w:r>
          </w:p>
        </w:tc>
        <w:tc>
          <w:tcPr>
            <w:tcW w:w="1341" w:type="dxa"/>
            <w:shd w:val="clear" w:color="auto" w:fill="9BBB59" w:themeFill="accent3"/>
          </w:tcPr>
          <w:p w:rsidR="00CE78FA" w:rsidRPr="00B44269" w:rsidRDefault="00CE78FA" w:rsidP="00CE78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occurrence</w:t>
            </w:r>
          </w:p>
          <w:p w:rsidR="00CE78FA" w:rsidRPr="00B44269" w:rsidRDefault="00CE78FA" w:rsidP="00CE78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075" w:type="dxa"/>
            <w:shd w:val="clear" w:color="auto" w:fill="9BBB59" w:themeFill="accent3"/>
          </w:tcPr>
          <w:p w:rsidR="00CE78FA" w:rsidRPr="00B44269" w:rsidRDefault="00CE78F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impact</w:t>
            </w:r>
          </w:p>
          <w:p w:rsidR="00CE78FA" w:rsidRPr="00B44269" w:rsidRDefault="00CE78FA" w:rsidP="00CE7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4545" w:type="dxa"/>
            <w:shd w:val="clear" w:color="auto" w:fill="9BBB59" w:themeFill="accent3"/>
          </w:tcPr>
          <w:p w:rsidR="00CE78FA" w:rsidRPr="00B44269" w:rsidRDefault="00CE78FA" w:rsidP="00CE7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mitigation measures</w:t>
            </w:r>
          </w:p>
        </w:tc>
        <w:tc>
          <w:tcPr>
            <w:tcW w:w="1171" w:type="dxa"/>
            <w:shd w:val="clear" w:color="auto" w:fill="9BBB59" w:themeFill="accent3"/>
          </w:tcPr>
          <w:p w:rsidR="00CE78FA" w:rsidRPr="00B44269" w:rsidRDefault="00CE78F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Cost to mitigate</w:t>
            </w:r>
          </w:p>
          <w:p w:rsidR="00CE78FA" w:rsidRPr="00B44269" w:rsidRDefault="00CE78F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511" w:type="dxa"/>
            <w:shd w:val="clear" w:color="auto" w:fill="9BBB59" w:themeFill="accent3"/>
          </w:tcPr>
          <w:p w:rsidR="00CE78FA" w:rsidRPr="00B44269" w:rsidRDefault="00CE78F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success</w:t>
            </w:r>
          </w:p>
          <w:p w:rsidR="00CE78FA" w:rsidRPr="00B44269" w:rsidRDefault="00CE78FA" w:rsidP="00F842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2035" w:type="dxa"/>
            <w:shd w:val="clear" w:color="auto" w:fill="9BBB59" w:themeFill="accent3"/>
          </w:tcPr>
          <w:p w:rsidR="00CE78FA" w:rsidRPr="00B44269" w:rsidRDefault="00CE78FA" w:rsidP="00CE7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Responsibility</w:t>
            </w:r>
          </w:p>
        </w:tc>
      </w:tr>
      <w:tr w:rsidR="00E5397E" w:rsidTr="00DD4B87">
        <w:tc>
          <w:tcPr>
            <w:tcW w:w="0" w:type="auto"/>
          </w:tcPr>
          <w:p w:rsidR="00CE78FA" w:rsidRPr="007202B6" w:rsidRDefault="00C95083" w:rsidP="00CE7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8" w:type="dxa"/>
          </w:tcPr>
          <w:p w:rsidR="00CE78FA" w:rsidRPr="007202B6" w:rsidRDefault="00E911DB" w:rsidP="00720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Lack of c</w:t>
            </w:r>
            <w:r w:rsidR="00C95083" w:rsidRPr="007202B6">
              <w:rPr>
                <w:rFonts w:ascii="Times New Roman" w:hAnsi="Times New Roman" w:cs="Times New Roman"/>
                <w:sz w:val="20"/>
                <w:szCs w:val="20"/>
              </w:rPr>
              <w:t>oordination with contractor</w:t>
            </w:r>
            <w:r w:rsidR="007202B6">
              <w:rPr>
                <w:rFonts w:ascii="Times New Roman" w:hAnsi="Times New Roman" w:cs="Times New Roman"/>
                <w:sz w:val="20"/>
                <w:szCs w:val="20"/>
              </w:rPr>
              <w:t>, consultants</w:t>
            </w:r>
            <w:r w:rsidR="007202B6" w:rsidRPr="007202B6">
              <w:rPr>
                <w:rFonts w:ascii="Times New Roman" w:hAnsi="Times New Roman" w:cs="Times New Roman"/>
                <w:sz w:val="20"/>
                <w:szCs w:val="20"/>
              </w:rPr>
              <w:t xml:space="preserve"> and other agencies.</w:t>
            </w:r>
          </w:p>
        </w:tc>
        <w:tc>
          <w:tcPr>
            <w:tcW w:w="2757" w:type="dxa"/>
          </w:tcPr>
          <w:p w:rsidR="00CE78FA" w:rsidRPr="007202B6" w:rsidRDefault="00C95083" w:rsidP="00C950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Conflict between entities</w:t>
            </w:r>
          </w:p>
          <w:p w:rsidR="00C95083" w:rsidRPr="007202B6" w:rsidRDefault="00C95083" w:rsidP="00C950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Sabotage of one another’s works</w:t>
            </w:r>
          </w:p>
          <w:p w:rsidR="00C95083" w:rsidRDefault="007202B6" w:rsidP="00C950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Delays in information sharing</w:t>
            </w:r>
          </w:p>
          <w:p w:rsidR="007202B6" w:rsidRPr="007202B6" w:rsidRDefault="007202B6" w:rsidP="00C950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Adversarial relationships, conflicts and breakdown in project goals</w:t>
            </w:r>
          </w:p>
        </w:tc>
        <w:tc>
          <w:tcPr>
            <w:tcW w:w="1341" w:type="dxa"/>
          </w:tcPr>
          <w:p w:rsidR="00CE78FA" w:rsidRPr="007202B6" w:rsidRDefault="00C95083" w:rsidP="00C9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75" w:type="dxa"/>
          </w:tcPr>
          <w:p w:rsidR="00CE78FA" w:rsidRPr="007202B6" w:rsidRDefault="00C95083" w:rsidP="00C9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545" w:type="dxa"/>
          </w:tcPr>
          <w:p w:rsidR="00C95083" w:rsidRPr="007202B6" w:rsidRDefault="00C95083" w:rsidP="00C950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Ensure there is information sharing, i.e. schedule of works, work strategies etc.</w:t>
            </w:r>
          </w:p>
          <w:p w:rsidR="00E5397E" w:rsidRPr="007202B6" w:rsidRDefault="00C95083" w:rsidP="00E5397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Hold regular coordination meetings with all entities</w:t>
            </w:r>
            <w:r w:rsidR="00EC02C5" w:rsidRPr="007202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ED2" w:rsidRPr="007202B6" w:rsidRDefault="00687ED2" w:rsidP="00E5397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Ventilate all areas of conflict at meetings and ensure that there is resolution.</w:t>
            </w:r>
          </w:p>
        </w:tc>
        <w:tc>
          <w:tcPr>
            <w:tcW w:w="1171" w:type="dxa"/>
          </w:tcPr>
          <w:p w:rsidR="00CE78FA" w:rsidRPr="007202B6" w:rsidRDefault="00C95083" w:rsidP="00C9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11" w:type="dxa"/>
          </w:tcPr>
          <w:p w:rsidR="00CE78FA" w:rsidRPr="007202B6" w:rsidRDefault="00C95083" w:rsidP="00C9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2B6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35" w:type="dxa"/>
          </w:tcPr>
          <w:p w:rsidR="00CE78FA" w:rsidRPr="007202B6" w:rsidRDefault="00AA3646" w:rsidP="00E53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NPMC </w:t>
            </w:r>
            <w:r w:rsidR="00C95083" w:rsidRPr="007202B6">
              <w:rPr>
                <w:rFonts w:ascii="Times New Roman" w:hAnsi="Times New Roman" w:cs="Times New Roman"/>
                <w:sz w:val="20"/>
                <w:szCs w:val="20"/>
              </w:rPr>
              <w:t>/ All Consultant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5083" w:rsidRPr="007202B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95083" w:rsidRPr="007202B6">
              <w:rPr>
                <w:rFonts w:ascii="Times New Roman" w:hAnsi="Times New Roman" w:cs="Times New Roman"/>
                <w:sz w:val="20"/>
                <w:szCs w:val="20"/>
              </w:rPr>
              <w:t>/ Contractor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95083" w:rsidRPr="007202B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5397E" w:rsidTr="002C3593">
        <w:trPr>
          <w:trHeight w:val="2948"/>
        </w:trPr>
        <w:tc>
          <w:tcPr>
            <w:tcW w:w="0" w:type="auto"/>
          </w:tcPr>
          <w:p w:rsidR="00CE78FA" w:rsidRDefault="002C3593" w:rsidP="00CE7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8" w:type="dxa"/>
          </w:tcPr>
          <w:p w:rsidR="00CE78FA" w:rsidRDefault="00B46709" w:rsidP="00CE7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Lack of monitoring during work execution</w:t>
            </w:r>
          </w:p>
        </w:tc>
        <w:tc>
          <w:tcPr>
            <w:tcW w:w="2757" w:type="dxa"/>
          </w:tcPr>
          <w:p w:rsidR="00CE78FA" w:rsidRDefault="00B46709" w:rsidP="00B4670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Poor quality of works</w:t>
            </w:r>
          </w:p>
          <w:p w:rsidR="00B46709" w:rsidRDefault="00B46709" w:rsidP="00B4670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Time delays</w:t>
            </w:r>
          </w:p>
          <w:p w:rsidR="00B46709" w:rsidRDefault="00B46709" w:rsidP="00B4670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Re-work</w:t>
            </w:r>
          </w:p>
          <w:p w:rsidR="00B32141" w:rsidRPr="00B46709" w:rsidRDefault="00B32141" w:rsidP="00B4670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Increase in cost due to increase supervision fees</w:t>
            </w:r>
          </w:p>
        </w:tc>
        <w:tc>
          <w:tcPr>
            <w:tcW w:w="1341" w:type="dxa"/>
          </w:tcPr>
          <w:p w:rsidR="00CE78FA" w:rsidRDefault="00B46709" w:rsidP="00B4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75" w:type="dxa"/>
          </w:tcPr>
          <w:p w:rsidR="00CE78FA" w:rsidRDefault="00B46709" w:rsidP="00B4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545" w:type="dxa"/>
          </w:tcPr>
          <w:p w:rsidR="00CE78FA" w:rsidRDefault="0081618F" w:rsidP="0081618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Consistent review of all contractors and consultants through </w:t>
            </w:r>
            <w:r w:rsidR="00402746">
              <w:rPr>
                <w:rFonts w:ascii="Times New Roman" w:hAnsi="Times New Roman" w:cs="Times New Roman"/>
                <w:sz w:val="20"/>
                <w:szCs w:val="20"/>
              </w:rPr>
              <w:t>project appraisals</w:t>
            </w:r>
            <w:r w:rsidR="00687E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02746" w:rsidRDefault="00402746" w:rsidP="0081618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</w:t>
            </w:r>
            <w:r w:rsidR="00AA3646"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has personnel available to monitor all aspects of the works for verification purposes</w:t>
            </w:r>
            <w:r w:rsidR="00687E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152" w:rsidRDefault="00D64152" w:rsidP="00C97E9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there are quality control and quality assurance processes throughout construction.</w:t>
            </w:r>
          </w:p>
          <w:p w:rsidR="00402746" w:rsidRDefault="00F52EA1" w:rsidP="0081618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proper site records are maintained</w:t>
            </w:r>
            <w:r w:rsidR="00687E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2EA1" w:rsidRDefault="00F52EA1" w:rsidP="0081618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Tracking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works</w:t>
            </w:r>
            <w:r w:rsidR="00687E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2141" w:rsidRDefault="00B32141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5EE5" w:rsidRDefault="008E5EE5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5EE5" w:rsidRDefault="008E5EE5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091" w:rsidRDefault="00AA3091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091" w:rsidRDefault="00AA3091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593" w:rsidRPr="0081618F" w:rsidRDefault="002C3593" w:rsidP="00B32141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</w:tcPr>
          <w:p w:rsidR="00CE78FA" w:rsidRDefault="00F52EA1" w:rsidP="00F5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11" w:type="dxa"/>
          </w:tcPr>
          <w:p w:rsidR="00CE78FA" w:rsidRDefault="00F52EA1" w:rsidP="00F5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35" w:type="dxa"/>
          </w:tcPr>
          <w:p w:rsidR="00F52EA1" w:rsidRDefault="00AA3646" w:rsidP="00F52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NPMC </w:t>
            </w:r>
            <w:r w:rsidR="00F52EA1">
              <w:rPr>
                <w:rFonts w:ascii="Times New Roman" w:hAnsi="Times New Roman" w:cs="Times New Roman"/>
                <w:sz w:val="20"/>
                <w:szCs w:val="20"/>
              </w:rPr>
              <w:t>/ All</w:t>
            </w:r>
          </w:p>
          <w:p w:rsidR="00F52EA1" w:rsidRDefault="00F52EA1" w:rsidP="00F52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Consultant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CE78FA" w:rsidRDefault="00F52EA1" w:rsidP="00F52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Contractor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41CAC" w:rsidTr="00B32141"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E41CAC" w:rsidRPr="00B44269" w:rsidRDefault="00E41CAC" w:rsidP="00E41C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18" w:type="dxa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E41CAC" w:rsidRPr="00B44269" w:rsidRDefault="00E41CAC" w:rsidP="00E41C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Identification</w:t>
            </w:r>
          </w:p>
        </w:tc>
        <w:tc>
          <w:tcPr>
            <w:tcW w:w="2757" w:type="dxa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E41CAC" w:rsidRPr="00B44269" w:rsidRDefault="00E41CAC" w:rsidP="00E41C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consequences</w:t>
            </w:r>
          </w:p>
        </w:tc>
        <w:tc>
          <w:tcPr>
            <w:tcW w:w="1341" w:type="dxa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E41CAC" w:rsidRPr="00B44269" w:rsidRDefault="00E41CAC" w:rsidP="00E41C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occurrence</w:t>
            </w:r>
          </w:p>
          <w:p w:rsidR="00E41CAC" w:rsidRPr="00B44269" w:rsidRDefault="00E41CAC" w:rsidP="00E41C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075" w:type="dxa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E41CAC" w:rsidRPr="00B44269" w:rsidRDefault="00E41CAC" w:rsidP="00E41C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impact</w:t>
            </w:r>
          </w:p>
          <w:p w:rsidR="00E41CAC" w:rsidRPr="00B44269" w:rsidRDefault="00E41CAC" w:rsidP="00E41C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4545" w:type="dxa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E41CAC" w:rsidRPr="00B44269" w:rsidRDefault="00E41CAC" w:rsidP="00E41C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mitigation measures</w:t>
            </w:r>
          </w:p>
        </w:tc>
        <w:tc>
          <w:tcPr>
            <w:tcW w:w="1171" w:type="dxa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E41CAC" w:rsidRPr="00B44269" w:rsidRDefault="00E41CAC" w:rsidP="00E41C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Cost to mitigate</w:t>
            </w:r>
          </w:p>
          <w:p w:rsidR="00E41CAC" w:rsidRPr="00B44269" w:rsidRDefault="00E41CAC" w:rsidP="00E41C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511" w:type="dxa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E41CAC" w:rsidRPr="00B44269" w:rsidRDefault="00E41CAC" w:rsidP="00E41C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success</w:t>
            </w:r>
          </w:p>
          <w:p w:rsidR="00E41CAC" w:rsidRPr="00B44269" w:rsidRDefault="00E41CAC" w:rsidP="00E41C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2035" w:type="dxa"/>
            <w:tcBorders>
              <w:bottom w:val="single" w:sz="4" w:space="0" w:color="000000" w:themeColor="text1"/>
            </w:tcBorders>
            <w:shd w:val="clear" w:color="auto" w:fill="9BBB59" w:themeFill="accent3"/>
          </w:tcPr>
          <w:p w:rsidR="00E41CAC" w:rsidRPr="00B44269" w:rsidRDefault="00E41CAC" w:rsidP="00E41C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Responsibility</w:t>
            </w:r>
          </w:p>
        </w:tc>
      </w:tr>
      <w:tr w:rsidR="00B32141" w:rsidTr="00B32141">
        <w:tc>
          <w:tcPr>
            <w:tcW w:w="0" w:type="auto"/>
            <w:shd w:val="clear" w:color="auto" w:fill="auto"/>
          </w:tcPr>
          <w:p w:rsidR="00B32141" w:rsidRDefault="002C3593" w:rsidP="008C2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8" w:type="dxa"/>
            <w:shd w:val="clear" w:color="auto" w:fill="auto"/>
          </w:tcPr>
          <w:p w:rsidR="00B32141" w:rsidRDefault="00B32141" w:rsidP="008C2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Consistent unfavorable weather conditions</w:t>
            </w:r>
          </w:p>
        </w:tc>
        <w:tc>
          <w:tcPr>
            <w:tcW w:w="2757" w:type="dxa"/>
            <w:shd w:val="clear" w:color="auto" w:fill="auto"/>
          </w:tcPr>
          <w:p w:rsidR="00B32141" w:rsidRDefault="00B32141" w:rsidP="008C28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Cannot access the site(s).</w:t>
            </w:r>
          </w:p>
          <w:p w:rsidR="00B32141" w:rsidRDefault="00B32141" w:rsidP="008C28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Delays in project execution process.</w:t>
            </w:r>
          </w:p>
          <w:p w:rsidR="00B32141" w:rsidRPr="00FC689C" w:rsidRDefault="00B32141" w:rsidP="008C28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Project failure</w:t>
            </w:r>
          </w:p>
        </w:tc>
        <w:tc>
          <w:tcPr>
            <w:tcW w:w="1341" w:type="dxa"/>
            <w:shd w:val="clear" w:color="auto" w:fill="auto"/>
          </w:tcPr>
          <w:p w:rsidR="00B32141" w:rsidRDefault="00B32141" w:rsidP="008C2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75" w:type="dxa"/>
            <w:shd w:val="clear" w:color="auto" w:fill="auto"/>
          </w:tcPr>
          <w:p w:rsidR="00B32141" w:rsidRDefault="00B32141" w:rsidP="008C2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545" w:type="dxa"/>
            <w:shd w:val="clear" w:color="auto" w:fill="auto"/>
          </w:tcPr>
          <w:p w:rsidR="00B32141" w:rsidRDefault="00B32141" w:rsidP="008C28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work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caters adequately for unfavorable weather conditions i.e. schedule works accordingly.</w:t>
            </w:r>
          </w:p>
          <w:p w:rsidR="00B32141" w:rsidRDefault="00B32141" w:rsidP="008C28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 proper records for lost time, i.e. rain days, ordered work stoppages etc.</w:t>
            </w:r>
          </w:p>
          <w:p w:rsidR="00B32141" w:rsidRPr="00E41CAC" w:rsidRDefault="00B32141" w:rsidP="008C28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Monitor tide tables.</w:t>
            </w:r>
          </w:p>
        </w:tc>
        <w:tc>
          <w:tcPr>
            <w:tcW w:w="1171" w:type="dxa"/>
            <w:shd w:val="clear" w:color="auto" w:fill="auto"/>
          </w:tcPr>
          <w:p w:rsidR="00B32141" w:rsidRDefault="00B32141" w:rsidP="008C2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11" w:type="dxa"/>
            <w:shd w:val="clear" w:color="auto" w:fill="auto"/>
          </w:tcPr>
          <w:p w:rsidR="00B32141" w:rsidRDefault="00B32141" w:rsidP="008C2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35" w:type="dxa"/>
            <w:shd w:val="clear" w:color="auto" w:fill="auto"/>
          </w:tcPr>
          <w:p w:rsidR="00B32141" w:rsidRDefault="00AA3646" w:rsidP="00B32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/ Consultant(s)/</w:t>
            </w:r>
          </w:p>
          <w:p w:rsidR="00B32141" w:rsidRDefault="00B32141" w:rsidP="00B32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Contractor(s)</w:t>
            </w:r>
          </w:p>
        </w:tc>
      </w:tr>
      <w:tr w:rsidR="00B32141" w:rsidTr="00B32141">
        <w:tc>
          <w:tcPr>
            <w:tcW w:w="0" w:type="auto"/>
            <w:shd w:val="clear" w:color="auto" w:fill="auto"/>
          </w:tcPr>
          <w:p w:rsidR="00B32141" w:rsidRDefault="002C3593" w:rsidP="008C2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18" w:type="dxa"/>
            <w:shd w:val="clear" w:color="auto" w:fill="auto"/>
          </w:tcPr>
          <w:p w:rsidR="00B32141" w:rsidRDefault="00B32141" w:rsidP="008C2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Poor material selection that may deteriorate rapidly</w:t>
            </w:r>
          </w:p>
        </w:tc>
        <w:tc>
          <w:tcPr>
            <w:tcW w:w="2757" w:type="dxa"/>
            <w:shd w:val="clear" w:color="auto" w:fill="auto"/>
          </w:tcPr>
          <w:p w:rsidR="00B32141" w:rsidRDefault="00B32141" w:rsidP="008C28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Poor quality works</w:t>
            </w:r>
          </w:p>
          <w:p w:rsidR="00B32141" w:rsidRPr="00FC689C" w:rsidRDefault="00B32141" w:rsidP="008C28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Re-work</w:t>
            </w:r>
          </w:p>
        </w:tc>
        <w:tc>
          <w:tcPr>
            <w:tcW w:w="1341" w:type="dxa"/>
            <w:shd w:val="clear" w:color="auto" w:fill="auto"/>
          </w:tcPr>
          <w:p w:rsidR="00B32141" w:rsidRDefault="00B073A1" w:rsidP="008C2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075" w:type="dxa"/>
            <w:shd w:val="clear" w:color="auto" w:fill="auto"/>
          </w:tcPr>
          <w:p w:rsidR="00B32141" w:rsidRDefault="00B32141" w:rsidP="008C2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545" w:type="dxa"/>
            <w:shd w:val="clear" w:color="auto" w:fill="auto"/>
          </w:tcPr>
          <w:p w:rsidR="00B32141" w:rsidRPr="00FC689C" w:rsidRDefault="00B32141" w:rsidP="008C28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Implement quality assurance and quality control mechanisms throughout the duration of the project and more importantly before installation of materials. </w:t>
            </w:r>
            <w:r w:rsidRPr="00B321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Select materials suited for the environment which it is to be installed.</w:t>
            </w:r>
          </w:p>
        </w:tc>
        <w:tc>
          <w:tcPr>
            <w:tcW w:w="1171" w:type="dxa"/>
            <w:shd w:val="clear" w:color="auto" w:fill="auto"/>
          </w:tcPr>
          <w:p w:rsidR="00B32141" w:rsidRDefault="00B32141" w:rsidP="008C2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11" w:type="dxa"/>
            <w:shd w:val="clear" w:color="auto" w:fill="auto"/>
          </w:tcPr>
          <w:p w:rsidR="00B32141" w:rsidRDefault="00B32141" w:rsidP="008C2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35" w:type="dxa"/>
            <w:shd w:val="clear" w:color="auto" w:fill="auto"/>
          </w:tcPr>
          <w:p w:rsidR="00B32141" w:rsidRDefault="00AA3646" w:rsidP="008C2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B32141" w:rsidRDefault="00B32141" w:rsidP="008C2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Consultant(s)/</w:t>
            </w:r>
          </w:p>
          <w:p w:rsidR="00B32141" w:rsidRDefault="00B32141" w:rsidP="008C2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Contractor(s)</w:t>
            </w:r>
          </w:p>
        </w:tc>
      </w:tr>
      <w:tr w:rsidR="00B32141" w:rsidTr="00DD4B87">
        <w:tc>
          <w:tcPr>
            <w:tcW w:w="0" w:type="auto"/>
          </w:tcPr>
          <w:p w:rsidR="00B32141" w:rsidRDefault="002C3593" w:rsidP="00E41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8" w:type="dxa"/>
          </w:tcPr>
          <w:p w:rsidR="00B32141" w:rsidRDefault="00B32141" w:rsidP="00E41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Civil strife or protests etc.</w:t>
            </w:r>
          </w:p>
        </w:tc>
        <w:tc>
          <w:tcPr>
            <w:tcW w:w="2757" w:type="dxa"/>
          </w:tcPr>
          <w:p w:rsidR="00B32141" w:rsidRDefault="00B32141" w:rsidP="00E41CA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Delay in the project completion</w:t>
            </w:r>
          </w:p>
          <w:p w:rsidR="00B32141" w:rsidRDefault="00B32141" w:rsidP="00E41CA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Damage of works that are complete</w:t>
            </w:r>
          </w:p>
          <w:p w:rsidR="00B32141" w:rsidRDefault="00B32141" w:rsidP="00E41CA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Re-work</w:t>
            </w:r>
          </w:p>
          <w:p w:rsidR="00B32141" w:rsidRDefault="00B32141" w:rsidP="00E41CA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Increase in cost</w:t>
            </w:r>
          </w:p>
          <w:p w:rsidR="00B32141" w:rsidRPr="00E41CAC" w:rsidRDefault="00B32141" w:rsidP="00E41CA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</w:tcPr>
          <w:p w:rsidR="00B32141" w:rsidRDefault="00B073A1" w:rsidP="00E41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75" w:type="dxa"/>
          </w:tcPr>
          <w:p w:rsidR="00B32141" w:rsidRDefault="00B32141" w:rsidP="00E41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545" w:type="dxa"/>
          </w:tcPr>
          <w:p w:rsidR="00B32141" w:rsidRDefault="00B32141" w:rsidP="004E34F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there is a plan which caters for protest and strife matters and that all parties are aware of the plan and their roles should such matters arise.</w:t>
            </w:r>
          </w:p>
          <w:p w:rsidR="00B32141" w:rsidRPr="004E34F6" w:rsidRDefault="00B32141" w:rsidP="004E34F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contract form caters for Force Majeure.</w:t>
            </w:r>
          </w:p>
        </w:tc>
        <w:tc>
          <w:tcPr>
            <w:tcW w:w="1171" w:type="dxa"/>
          </w:tcPr>
          <w:p w:rsidR="00B32141" w:rsidRDefault="00B073A1" w:rsidP="004E3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11" w:type="dxa"/>
          </w:tcPr>
          <w:p w:rsidR="00B32141" w:rsidRDefault="00B32141" w:rsidP="004E3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35" w:type="dxa"/>
          </w:tcPr>
          <w:p w:rsidR="00B32141" w:rsidRDefault="00B32141" w:rsidP="00CE7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 Parties</w:t>
            </w:r>
          </w:p>
        </w:tc>
      </w:tr>
      <w:tr w:rsidR="00B32141" w:rsidTr="00DD4B87">
        <w:tc>
          <w:tcPr>
            <w:tcW w:w="0" w:type="auto"/>
          </w:tcPr>
          <w:p w:rsidR="00B32141" w:rsidRDefault="002C3593" w:rsidP="0068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18" w:type="dxa"/>
          </w:tcPr>
          <w:p w:rsidR="00B32141" w:rsidRDefault="00B32141" w:rsidP="0068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Client instructed variations</w:t>
            </w:r>
          </w:p>
        </w:tc>
        <w:tc>
          <w:tcPr>
            <w:tcW w:w="2757" w:type="dxa"/>
          </w:tcPr>
          <w:p w:rsidR="00B32141" w:rsidRDefault="00B32141" w:rsidP="00687E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Delays in completion of works</w:t>
            </w:r>
          </w:p>
          <w:p w:rsidR="00B32141" w:rsidRDefault="00B32141" w:rsidP="00687E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Cost increase</w:t>
            </w:r>
          </w:p>
          <w:p w:rsidR="00B32141" w:rsidRDefault="00B32141" w:rsidP="00687E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Claims</w:t>
            </w:r>
          </w:p>
          <w:p w:rsidR="00B32141" w:rsidRPr="00787403" w:rsidRDefault="00B32141" w:rsidP="00687ED2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</w:tcPr>
          <w:p w:rsidR="00B32141" w:rsidRDefault="00B32141" w:rsidP="0068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075" w:type="dxa"/>
          </w:tcPr>
          <w:p w:rsidR="00B32141" w:rsidRDefault="00B32141" w:rsidP="0068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545" w:type="dxa"/>
          </w:tcPr>
          <w:p w:rsidR="00B32141" w:rsidRDefault="00B32141" w:rsidP="00687E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there are mechanisms for project variations from the Client. Ensure funding is available for such changes and approval is given in writing.</w:t>
            </w:r>
          </w:p>
          <w:p w:rsidR="00B32141" w:rsidRDefault="00B32141" w:rsidP="00687E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extension(s) of time are properly evaluated and awarded in a timely manner and logged.</w:t>
            </w:r>
          </w:p>
          <w:p w:rsidR="00B32141" w:rsidRPr="00787403" w:rsidRDefault="00B32141" w:rsidP="00687E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there are revised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(s) of Works to reflect project duration changes.</w:t>
            </w:r>
          </w:p>
        </w:tc>
        <w:tc>
          <w:tcPr>
            <w:tcW w:w="1171" w:type="dxa"/>
          </w:tcPr>
          <w:p w:rsidR="00B32141" w:rsidRDefault="00B32141" w:rsidP="0068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11" w:type="dxa"/>
          </w:tcPr>
          <w:p w:rsidR="00B32141" w:rsidRDefault="00B32141" w:rsidP="0068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35" w:type="dxa"/>
          </w:tcPr>
          <w:p w:rsidR="00B32141" w:rsidRDefault="00B32141" w:rsidP="0068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Client/ </w:t>
            </w:r>
            <w:r w:rsidR="00AA3646"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B32141" w:rsidTr="00DD4B87">
        <w:tc>
          <w:tcPr>
            <w:tcW w:w="0" w:type="auto"/>
          </w:tcPr>
          <w:p w:rsidR="00B32141" w:rsidRDefault="002C3593" w:rsidP="00CE7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18" w:type="dxa"/>
          </w:tcPr>
          <w:p w:rsidR="00B32141" w:rsidRDefault="00B32141" w:rsidP="00CE7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Material price increases</w:t>
            </w:r>
          </w:p>
        </w:tc>
        <w:tc>
          <w:tcPr>
            <w:tcW w:w="2757" w:type="dxa"/>
          </w:tcPr>
          <w:p w:rsidR="00B32141" w:rsidRDefault="00B32141" w:rsidP="00103C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Delays in the works</w:t>
            </w:r>
          </w:p>
          <w:p w:rsidR="00B32141" w:rsidRPr="00103CB5" w:rsidRDefault="00B32141" w:rsidP="00103C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Project cost increases</w:t>
            </w:r>
          </w:p>
        </w:tc>
        <w:tc>
          <w:tcPr>
            <w:tcW w:w="1341" w:type="dxa"/>
          </w:tcPr>
          <w:p w:rsidR="00B32141" w:rsidRDefault="00B32141" w:rsidP="00103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75" w:type="dxa"/>
          </w:tcPr>
          <w:p w:rsidR="00B32141" w:rsidRDefault="00B32141" w:rsidP="00103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545" w:type="dxa"/>
          </w:tcPr>
          <w:p w:rsidR="00B32141" w:rsidRDefault="00B32141" w:rsidP="00103C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the relevant clauses are written in to the various contracts.</w:t>
            </w:r>
          </w:p>
          <w:p w:rsidR="00B32141" w:rsidRDefault="00B32141" w:rsidP="00103C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Contractors to cater for price increases in their Bids.</w:t>
            </w:r>
          </w:p>
          <w:p w:rsidR="00B32141" w:rsidRDefault="00B32141" w:rsidP="00103C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Monitor price changes in the local construction market.</w:t>
            </w:r>
          </w:p>
          <w:p w:rsidR="00B073A1" w:rsidRDefault="00B073A1" w:rsidP="00B07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A1" w:rsidRPr="00B073A1" w:rsidRDefault="00B073A1" w:rsidP="00B07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</w:tcPr>
          <w:p w:rsidR="00B32141" w:rsidRDefault="00B32141" w:rsidP="007D1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11" w:type="dxa"/>
          </w:tcPr>
          <w:p w:rsidR="00B32141" w:rsidRDefault="00B32141" w:rsidP="007D1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35" w:type="dxa"/>
          </w:tcPr>
          <w:p w:rsidR="00B32141" w:rsidRDefault="00AA3646" w:rsidP="00CE7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NPMC </w:t>
            </w:r>
            <w:r w:rsidR="00B32141">
              <w:rPr>
                <w:rFonts w:ascii="Times New Roman" w:hAnsi="Times New Roman" w:cs="Times New Roman"/>
                <w:sz w:val="20"/>
                <w:szCs w:val="20"/>
              </w:rPr>
              <w:t>/ All Consultants/ Contractors</w:t>
            </w:r>
          </w:p>
        </w:tc>
      </w:tr>
      <w:tr w:rsidR="00B32141" w:rsidTr="00DD4B87">
        <w:tc>
          <w:tcPr>
            <w:tcW w:w="0" w:type="auto"/>
            <w:shd w:val="clear" w:color="auto" w:fill="9BBB59" w:themeFill="accent3"/>
          </w:tcPr>
          <w:p w:rsidR="00B32141" w:rsidRPr="00B44269" w:rsidRDefault="00B32141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18" w:type="dxa"/>
            <w:shd w:val="clear" w:color="auto" w:fill="9BBB59" w:themeFill="accent3"/>
          </w:tcPr>
          <w:p w:rsidR="00B32141" w:rsidRPr="00B44269" w:rsidRDefault="00B32141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Identification</w:t>
            </w:r>
          </w:p>
        </w:tc>
        <w:tc>
          <w:tcPr>
            <w:tcW w:w="2757" w:type="dxa"/>
            <w:shd w:val="clear" w:color="auto" w:fill="9BBB59" w:themeFill="accent3"/>
          </w:tcPr>
          <w:p w:rsidR="00B32141" w:rsidRPr="00B44269" w:rsidRDefault="00B32141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consequences</w:t>
            </w:r>
          </w:p>
        </w:tc>
        <w:tc>
          <w:tcPr>
            <w:tcW w:w="1341" w:type="dxa"/>
            <w:shd w:val="clear" w:color="auto" w:fill="9BBB59" w:themeFill="accent3"/>
          </w:tcPr>
          <w:p w:rsidR="00B32141" w:rsidRPr="00B44269" w:rsidRDefault="00B32141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occurrence</w:t>
            </w:r>
          </w:p>
          <w:p w:rsidR="00B32141" w:rsidRPr="00B44269" w:rsidRDefault="00B32141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075" w:type="dxa"/>
            <w:shd w:val="clear" w:color="auto" w:fill="9BBB59" w:themeFill="accent3"/>
          </w:tcPr>
          <w:p w:rsidR="00B32141" w:rsidRPr="00B44269" w:rsidRDefault="00B32141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impact</w:t>
            </w:r>
          </w:p>
          <w:p w:rsidR="00B32141" w:rsidRPr="00B44269" w:rsidRDefault="00B32141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4545" w:type="dxa"/>
            <w:shd w:val="clear" w:color="auto" w:fill="9BBB59" w:themeFill="accent3"/>
          </w:tcPr>
          <w:p w:rsidR="00B32141" w:rsidRPr="00B44269" w:rsidRDefault="00B32141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mitigation measures</w:t>
            </w:r>
          </w:p>
        </w:tc>
        <w:tc>
          <w:tcPr>
            <w:tcW w:w="1171" w:type="dxa"/>
            <w:shd w:val="clear" w:color="auto" w:fill="9BBB59" w:themeFill="accent3"/>
          </w:tcPr>
          <w:p w:rsidR="00B32141" w:rsidRPr="00B44269" w:rsidRDefault="00B32141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Cost to mitigate</w:t>
            </w:r>
          </w:p>
          <w:p w:rsidR="00B32141" w:rsidRPr="00B44269" w:rsidRDefault="00B32141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511" w:type="dxa"/>
            <w:shd w:val="clear" w:color="auto" w:fill="9BBB59" w:themeFill="accent3"/>
          </w:tcPr>
          <w:p w:rsidR="00B32141" w:rsidRPr="00B44269" w:rsidRDefault="00B32141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success</w:t>
            </w:r>
          </w:p>
          <w:p w:rsidR="00B32141" w:rsidRPr="00B44269" w:rsidRDefault="00B32141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2035" w:type="dxa"/>
            <w:shd w:val="clear" w:color="auto" w:fill="9BBB59" w:themeFill="accent3"/>
          </w:tcPr>
          <w:p w:rsidR="00B32141" w:rsidRPr="00B44269" w:rsidRDefault="00B32141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Responsibility</w:t>
            </w:r>
          </w:p>
        </w:tc>
      </w:tr>
      <w:tr w:rsidR="00B32141" w:rsidTr="00DD4B87">
        <w:tc>
          <w:tcPr>
            <w:tcW w:w="0" w:type="auto"/>
          </w:tcPr>
          <w:p w:rsidR="00B32141" w:rsidRDefault="002C3593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18" w:type="dxa"/>
          </w:tcPr>
          <w:p w:rsidR="00B32141" w:rsidRDefault="00B32141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Timely payment of Contractors, suppliers etc.</w:t>
            </w:r>
          </w:p>
        </w:tc>
        <w:tc>
          <w:tcPr>
            <w:tcW w:w="2757" w:type="dxa"/>
          </w:tcPr>
          <w:p w:rsidR="00B32141" w:rsidRDefault="00B32141" w:rsidP="005077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Work stoppage, project delays</w:t>
            </w:r>
          </w:p>
          <w:p w:rsidR="00B32141" w:rsidRDefault="00B32141" w:rsidP="005077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Claims and Litigation</w:t>
            </w:r>
          </w:p>
        </w:tc>
        <w:tc>
          <w:tcPr>
            <w:tcW w:w="1341" w:type="dxa"/>
          </w:tcPr>
          <w:p w:rsidR="00B32141" w:rsidRDefault="00B32141" w:rsidP="0050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75" w:type="dxa"/>
          </w:tcPr>
          <w:p w:rsidR="00B32141" w:rsidRDefault="00B32141" w:rsidP="0050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545" w:type="dxa"/>
          </w:tcPr>
          <w:p w:rsidR="00B32141" w:rsidRDefault="00B32141" w:rsidP="005077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payments are certified and made in a timely manner.</w:t>
            </w:r>
          </w:p>
          <w:p w:rsidR="00B32141" w:rsidRDefault="00B32141" w:rsidP="005077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all funding required for the execution stage has been secured by the Client.</w:t>
            </w:r>
          </w:p>
          <w:p w:rsidR="00B32141" w:rsidRPr="00AF2C39" w:rsidRDefault="00B32141" w:rsidP="0050779F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</w:tcPr>
          <w:p w:rsidR="00B32141" w:rsidRDefault="00B32141" w:rsidP="0050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11" w:type="dxa"/>
          </w:tcPr>
          <w:p w:rsidR="00B32141" w:rsidRDefault="00B32141" w:rsidP="0050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35" w:type="dxa"/>
          </w:tcPr>
          <w:p w:rsidR="00B32141" w:rsidRDefault="00B32141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Client/ </w:t>
            </w:r>
            <w:r w:rsidR="00AA3646"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  <w:tr w:rsidR="00B32141" w:rsidTr="00DD4B87">
        <w:tc>
          <w:tcPr>
            <w:tcW w:w="0" w:type="auto"/>
          </w:tcPr>
          <w:p w:rsidR="00B32141" w:rsidRDefault="002C3593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18" w:type="dxa"/>
          </w:tcPr>
          <w:p w:rsidR="00B32141" w:rsidRDefault="00B32141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Problems with material being shipped from out-side of Trinidad and Tobago.</w:t>
            </w:r>
          </w:p>
        </w:tc>
        <w:tc>
          <w:tcPr>
            <w:tcW w:w="2757" w:type="dxa"/>
          </w:tcPr>
          <w:p w:rsidR="00B32141" w:rsidRPr="00AF2C39" w:rsidRDefault="00B32141" w:rsidP="005077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Delays in works and project delivery</w:t>
            </w:r>
          </w:p>
        </w:tc>
        <w:tc>
          <w:tcPr>
            <w:tcW w:w="1341" w:type="dxa"/>
          </w:tcPr>
          <w:p w:rsidR="00B32141" w:rsidRDefault="00B32141" w:rsidP="0050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075" w:type="dxa"/>
          </w:tcPr>
          <w:p w:rsidR="00B32141" w:rsidRDefault="00B32141" w:rsidP="0050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545" w:type="dxa"/>
          </w:tcPr>
          <w:p w:rsidR="00B32141" w:rsidRDefault="00B32141" w:rsidP="005077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F2C39">
              <w:rPr>
                <w:rFonts w:ascii="Times New Roman" w:hAnsi="Times New Roman" w:cs="Times New Roman"/>
                <w:sz w:val="20"/>
                <w:szCs w:val="20"/>
              </w:rPr>
              <w:t>Identify all materials, plant and equipment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that are required for the works at the early stages of the project. Include for the ordering, manufacture, shipping, customs clearing and delivery to site in work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2141" w:rsidRDefault="00B32141" w:rsidP="005077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Assist where practicable with the clearing from the local port of entry and requisite tax charges.</w:t>
            </w:r>
          </w:p>
          <w:p w:rsidR="00B32141" w:rsidRDefault="00B32141" w:rsidP="005077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Monitor any delays as a result of Port and Customs and Excise.</w:t>
            </w:r>
          </w:p>
          <w:p w:rsidR="00210436" w:rsidRPr="002C3593" w:rsidRDefault="00210436" w:rsidP="002C35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</w:tcPr>
          <w:p w:rsidR="00B32141" w:rsidRDefault="00B32141" w:rsidP="0050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11" w:type="dxa"/>
          </w:tcPr>
          <w:p w:rsidR="00B32141" w:rsidRDefault="00B32141" w:rsidP="0050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35" w:type="dxa"/>
          </w:tcPr>
          <w:p w:rsidR="00B32141" w:rsidRDefault="00B32141" w:rsidP="00507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Contractor</w:t>
            </w:r>
          </w:p>
        </w:tc>
      </w:tr>
    </w:tbl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2C3593" w:rsidRDefault="002C3593" w:rsidP="00D709F9">
      <w:pPr>
        <w:rPr>
          <w:rFonts w:ascii="Times New Roman" w:hAnsi="Times New Roman" w:cs="Times New Roman"/>
          <w:sz w:val="20"/>
          <w:szCs w:val="20"/>
        </w:rPr>
      </w:pPr>
    </w:p>
    <w:p w:rsidR="002C3593" w:rsidRDefault="002C3593" w:rsidP="00D709F9">
      <w:pPr>
        <w:rPr>
          <w:rFonts w:ascii="Times New Roman" w:hAnsi="Times New Roman" w:cs="Times New Roman"/>
          <w:sz w:val="20"/>
          <w:szCs w:val="20"/>
        </w:rPr>
      </w:pPr>
    </w:p>
    <w:p w:rsidR="002C3593" w:rsidRDefault="002C3593" w:rsidP="00D709F9">
      <w:pPr>
        <w:rPr>
          <w:rFonts w:ascii="Times New Roman" w:hAnsi="Times New Roman" w:cs="Times New Roman"/>
          <w:sz w:val="20"/>
          <w:szCs w:val="20"/>
        </w:rPr>
      </w:pPr>
    </w:p>
    <w:p w:rsidR="0035753A" w:rsidRDefault="0035753A" w:rsidP="00D709F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7658" w:type="dxa"/>
        <w:tblLook w:val="04A0" w:firstRow="1" w:lastRow="0" w:firstColumn="1" w:lastColumn="0" w:noHBand="0" w:noVBand="1"/>
      </w:tblPr>
      <w:tblGrid>
        <w:gridCol w:w="616"/>
        <w:gridCol w:w="2372"/>
        <w:gridCol w:w="2790"/>
        <w:gridCol w:w="1350"/>
        <w:gridCol w:w="1080"/>
        <w:gridCol w:w="4664"/>
        <w:gridCol w:w="1186"/>
        <w:gridCol w:w="1530"/>
        <w:gridCol w:w="2070"/>
      </w:tblGrid>
      <w:tr w:rsidR="00047D2F" w:rsidRPr="00B44269" w:rsidTr="00047D2F">
        <w:tc>
          <w:tcPr>
            <w:tcW w:w="0" w:type="auto"/>
            <w:shd w:val="clear" w:color="auto" w:fill="CCC0D9" w:themeFill="accent4" w:themeFillTint="66"/>
          </w:tcPr>
          <w:p w:rsidR="00047D2F" w:rsidRPr="00B44269" w:rsidRDefault="00047D2F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2372" w:type="dxa"/>
            <w:shd w:val="clear" w:color="auto" w:fill="CCC0D9" w:themeFill="accent4" w:themeFillTint="66"/>
          </w:tcPr>
          <w:p w:rsidR="00047D2F" w:rsidRPr="00B44269" w:rsidRDefault="00047D2F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Identification</w:t>
            </w:r>
          </w:p>
        </w:tc>
        <w:tc>
          <w:tcPr>
            <w:tcW w:w="2790" w:type="dxa"/>
            <w:shd w:val="clear" w:color="auto" w:fill="CCC0D9" w:themeFill="accent4" w:themeFillTint="66"/>
          </w:tcPr>
          <w:p w:rsidR="00047D2F" w:rsidRPr="00B44269" w:rsidRDefault="00047D2F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consequences</w:t>
            </w:r>
          </w:p>
        </w:tc>
        <w:tc>
          <w:tcPr>
            <w:tcW w:w="1350" w:type="dxa"/>
            <w:shd w:val="clear" w:color="auto" w:fill="CCC0D9" w:themeFill="accent4" w:themeFillTint="66"/>
          </w:tcPr>
          <w:p w:rsidR="00047D2F" w:rsidRPr="00B44269" w:rsidRDefault="00047D2F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occurrence</w:t>
            </w:r>
          </w:p>
          <w:p w:rsidR="00047D2F" w:rsidRPr="00B44269" w:rsidRDefault="00047D2F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080" w:type="dxa"/>
            <w:shd w:val="clear" w:color="auto" w:fill="CCC0D9" w:themeFill="accent4" w:themeFillTint="66"/>
          </w:tcPr>
          <w:p w:rsidR="00047D2F" w:rsidRPr="00B44269" w:rsidRDefault="00047D2F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Potential impact</w:t>
            </w:r>
          </w:p>
          <w:p w:rsidR="00047D2F" w:rsidRPr="00B44269" w:rsidRDefault="00047D2F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4664" w:type="dxa"/>
            <w:shd w:val="clear" w:color="auto" w:fill="CCC0D9" w:themeFill="accent4" w:themeFillTint="66"/>
          </w:tcPr>
          <w:p w:rsidR="00047D2F" w:rsidRPr="00B44269" w:rsidRDefault="00047D2F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Risk mitigation measures</w:t>
            </w:r>
          </w:p>
        </w:tc>
        <w:tc>
          <w:tcPr>
            <w:tcW w:w="1186" w:type="dxa"/>
            <w:shd w:val="clear" w:color="auto" w:fill="CCC0D9" w:themeFill="accent4" w:themeFillTint="66"/>
          </w:tcPr>
          <w:p w:rsidR="00047D2F" w:rsidRPr="00B44269" w:rsidRDefault="00047D2F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Cost to mitigate</w:t>
            </w:r>
          </w:p>
          <w:p w:rsidR="00047D2F" w:rsidRPr="00B44269" w:rsidRDefault="00047D2F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1530" w:type="dxa"/>
            <w:shd w:val="clear" w:color="auto" w:fill="CCC0D9" w:themeFill="accent4" w:themeFillTint="66"/>
          </w:tcPr>
          <w:p w:rsidR="00047D2F" w:rsidRPr="00B44269" w:rsidRDefault="00047D2F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Probability of success</w:t>
            </w:r>
          </w:p>
          <w:p w:rsidR="00047D2F" w:rsidRPr="00B44269" w:rsidRDefault="00047D2F" w:rsidP="0004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(H-M-L)</w:t>
            </w:r>
          </w:p>
        </w:tc>
        <w:tc>
          <w:tcPr>
            <w:tcW w:w="2070" w:type="dxa"/>
            <w:shd w:val="clear" w:color="auto" w:fill="CCC0D9" w:themeFill="accent4" w:themeFillTint="66"/>
          </w:tcPr>
          <w:p w:rsidR="00047D2F" w:rsidRPr="00B44269" w:rsidRDefault="00047D2F" w:rsidP="00047D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269">
              <w:rPr>
                <w:rFonts w:ascii="Times New Roman" w:hAnsi="Times New Roman" w:cs="Times New Roman"/>
                <w:b/>
                <w:sz w:val="20"/>
                <w:szCs w:val="20"/>
              </w:rPr>
              <w:t>Responsibility</w:t>
            </w:r>
          </w:p>
        </w:tc>
      </w:tr>
      <w:tr w:rsidR="00047D2F" w:rsidTr="00047D2F">
        <w:tc>
          <w:tcPr>
            <w:tcW w:w="0" w:type="auto"/>
          </w:tcPr>
          <w:p w:rsidR="00047D2F" w:rsidRDefault="00047D2F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2" w:type="dxa"/>
          </w:tcPr>
          <w:p w:rsidR="00047D2F" w:rsidRDefault="0035753A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Non-preparation of “As Built” Drawings</w:t>
            </w:r>
            <w:r w:rsidR="004804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0" w:type="dxa"/>
          </w:tcPr>
          <w:p w:rsidR="00047D2F" w:rsidRPr="0035753A" w:rsidRDefault="0035753A" w:rsidP="003575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certification of completion</w:t>
            </w:r>
          </w:p>
        </w:tc>
        <w:tc>
          <w:tcPr>
            <w:tcW w:w="1350" w:type="dxa"/>
          </w:tcPr>
          <w:p w:rsidR="00047D2F" w:rsidRDefault="0035753A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047D2F" w:rsidRDefault="0035753A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64" w:type="dxa"/>
          </w:tcPr>
          <w:p w:rsidR="00047D2F" w:rsidRPr="00AF2C39" w:rsidRDefault="0035753A" w:rsidP="0035753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the “As Built” drawings are prepared and submitted in a timely manner</w:t>
            </w:r>
            <w:r w:rsidR="00090D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6" w:type="dxa"/>
          </w:tcPr>
          <w:p w:rsidR="00047D2F" w:rsidRDefault="0035753A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30" w:type="dxa"/>
          </w:tcPr>
          <w:p w:rsidR="00047D2F" w:rsidRDefault="0035753A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047D2F" w:rsidRDefault="00125FCB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  <w:r w:rsidR="0035753A">
              <w:rPr>
                <w:rFonts w:ascii="Times New Roman" w:hAnsi="Times New Roman" w:cs="Times New Roman"/>
                <w:sz w:val="20"/>
                <w:szCs w:val="20"/>
              </w:rPr>
              <w:t>/ Consultants</w:t>
            </w:r>
          </w:p>
        </w:tc>
      </w:tr>
      <w:tr w:rsidR="00047D2F" w:rsidTr="00047D2F">
        <w:tc>
          <w:tcPr>
            <w:tcW w:w="0" w:type="auto"/>
          </w:tcPr>
          <w:p w:rsidR="00047D2F" w:rsidRDefault="00A87970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2" w:type="dxa"/>
          </w:tcPr>
          <w:p w:rsidR="00047D2F" w:rsidRDefault="00A87970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Defects appear after the execution stage</w:t>
            </w:r>
            <w:r w:rsidR="004804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0" w:type="dxa"/>
          </w:tcPr>
          <w:p w:rsidR="00047D2F" w:rsidRDefault="00A87970" w:rsidP="00A879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Re-work</w:t>
            </w:r>
          </w:p>
          <w:p w:rsidR="00A87970" w:rsidRDefault="00A87970" w:rsidP="00A879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Stakeholder complaints</w:t>
            </w:r>
          </w:p>
        </w:tc>
        <w:tc>
          <w:tcPr>
            <w:tcW w:w="1350" w:type="dxa"/>
          </w:tcPr>
          <w:p w:rsidR="00047D2F" w:rsidRDefault="00A87970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047D2F" w:rsidRDefault="00A87970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64" w:type="dxa"/>
          </w:tcPr>
          <w:p w:rsidR="00047D2F" w:rsidRDefault="00A87970" w:rsidP="00A879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Ensure the defects liability / maintenance period is sufficient and that there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is adequate penalties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 non-adherence to contract requirements</w:t>
            </w:r>
            <w:r w:rsidR="00090D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7970" w:rsidRPr="00AF2C39" w:rsidRDefault="00A87970" w:rsidP="00A879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Address defects in a timely manner</w:t>
            </w:r>
            <w:r w:rsidR="00090D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6" w:type="dxa"/>
          </w:tcPr>
          <w:p w:rsidR="00047D2F" w:rsidRDefault="00A87970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30" w:type="dxa"/>
          </w:tcPr>
          <w:p w:rsidR="00047D2F" w:rsidRDefault="00A87970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047D2F" w:rsidRDefault="00125FCB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NPMC </w:t>
            </w:r>
            <w:r w:rsidR="00A87970">
              <w:rPr>
                <w:rFonts w:ascii="Times New Roman" w:hAnsi="Times New Roman" w:cs="Times New Roman"/>
                <w:sz w:val="20"/>
                <w:szCs w:val="20"/>
              </w:rPr>
              <w:t>/ All Consultants/ Contractors</w:t>
            </w:r>
          </w:p>
        </w:tc>
      </w:tr>
      <w:tr w:rsidR="00047D2F" w:rsidTr="00047D2F">
        <w:tc>
          <w:tcPr>
            <w:tcW w:w="0" w:type="auto"/>
          </w:tcPr>
          <w:p w:rsidR="00047D2F" w:rsidRDefault="00DC25DE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2" w:type="dxa"/>
          </w:tcPr>
          <w:p w:rsidR="00047D2F" w:rsidRDefault="00DC25DE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Commissioning of plant and equipment</w:t>
            </w:r>
            <w:r w:rsidR="004804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0" w:type="dxa"/>
          </w:tcPr>
          <w:p w:rsidR="00047D2F" w:rsidRDefault="00DC25DE" w:rsidP="00DC25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Re-work</w:t>
            </w:r>
          </w:p>
          <w:p w:rsidR="00DC25DE" w:rsidRDefault="00DC25DE" w:rsidP="00DC25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Delays in final certification</w:t>
            </w:r>
          </w:p>
        </w:tc>
        <w:tc>
          <w:tcPr>
            <w:tcW w:w="1350" w:type="dxa"/>
          </w:tcPr>
          <w:p w:rsidR="00047D2F" w:rsidRDefault="00DC25DE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047D2F" w:rsidRDefault="00DC25DE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64" w:type="dxa"/>
          </w:tcPr>
          <w:p w:rsidR="00047D2F" w:rsidRDefault="00DC25DE" w:rsidP="00DC25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that adequate testing is done prior to hand-over</w:t>
            </w:r>
            <w:r w:rsidR="00090D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C25DE" w:rsidRPr="00AF2C39" w:rsidRDefault="00DC25DE" w:rsidP="00DC25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Seek independent testing and calibration where necessary</w:t>
            </w:r>
            <w:r w:rsidR="00090D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6" w:type="dxa"/>
          </w:tcPr>
          <w:p w:rsidR="00047D2F" w:rsidRDefault="00DC25DE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530" w:type="dxa"/>
          </w:tcPr>
          <w:p w:rsidR="00047D2F" w:rsidRDefault="00DC25DE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047D2F" w:rsidRDefault="00125FCB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NPMC </w:t>
            </w:r>
            <w:r w:rsidR="00DC25DE">
              <w:rPr>
                <w:rFonts w:ascii="Times New Roman" w:hAnsi="Times New Roman" w:cs="Times New Roman"/>
                <w:sz w:val="20"/>
                <w:szCs w:val="20"/>
              </w:rPr>
              <w:t>/ All Consultants/ Contractors</w:t>
            </w:r>
          </w:p>
        </w:tc>
      </w:tr>
      <w:tr w:rsidR="00047D2F" w:rsidTr="00047D2F">
        <w:tc>
          <w:tcPr>
            <w:tcW w:w="0" w:type="auto"/>
          </w:tcPr>
          <w:p w:rsidR="00047D2F" w:rsidRDefault="00C9229E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2" w:type="dxa"/>
          </w:tcPr>
          <w:p w:rsidR="00047D2F" w:rsidRDefault="00C9229E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Final payment</w:t>
            </w:r>
            <w:r w:rsidR="00BA0C9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41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0" w:type="dxa"/>
          </w:tcPr>
          <w:p w:rsidR="00047D2F" w:rsidRDefault="00C9229E" w:rsidP="00C922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Claims and litigation</w:t>
            </w:r>
          </w:p>
        </w:tc>
        <w:tc>
          <w:tcPr>
            <w:tcW w:w="1350" w:type="dxa"/>
          </w:tcPr>
          <w:p w:rsidR="00047D2F" w:rsidRDefault="00C9229E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80" w:type="dxa"/>
          </w:tcPr>
          <w:p w:rsidR="00047D2F" w:rsidRDefault="00C9229E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664" w:type="dxa"/>
          </w:tcPr>
          <w:p w:rsidR="00047D2F" w:rsidRDefault="00C9229E" w:rsidP="00C922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all funding is available for project</w:t>
            </w:r>
            <w:r w:rsidR="00090D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9229E" w:rsidRPr="00AF2C39" w:rsidRDefault="00C9229E" w:rsidP="00C922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Ensure all parties are remunerated in a timely manner</w:t>
            </w:r>
            <w:r w:rsidR="00090D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6" w:type="dxa"/>
          </w:tcPr>
          <w:p w:rsidR="00047D2F" w:rsidRDefault="00C9229E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530" w:type="dxa"/>
          </w:tcPr>
          <w:p w:rsidR="00047D2F" w:rsidRDefault="00C9229E" w:rsidP="00047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070" w:type="dxa"/>
          </w:tcPr>
          <w:p w:rsidR="00047D2F" w:rsidRDefault="00C9229E" w:rsidP="0004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Client/ </w:t>
            </w:r>
            <w:r w:rsidR="00125FCB">
              <w:rPr>
                <w:rFonts w:ascii="Times New Roman" w:hAnsi="Times New Roman" w:cs="Times New Roman"/>
                <w:sz w:val="20"/>
                <w:szCs w:val="20"/>
              </w:rPr>
              <w:t>NPMC</w:t>
            </w:r>
          </w:p>
        </w:tc>
      </w:tr>
    </w:tbl>
    <w:p w:rsidR="00047D2F" w:rsidRDefault="00047D2F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p w:rsidR="00D709F9" w:rsidRPr="00D709F9" w:rsidRDefault="00D709F9" w:rsidP="00D709F9">
      <w:pPr>
        <w:rPr>
          <w:rFonts w:ascii="Times New Roman" w:hAnsi="Times New Roman" w:cs="Times New Roman"/>
          <w:sz w:val="20"/>
          <w:szCs w:val="20"/>
        </w:rPr>
      </w:pPr>
    </w:p>
    <w:sectPr w:rsidR="00D709F9" w:rsidRPr="00D709F9" w:rsidSect="005A0DD7">
      <w:footerReference w:type="default" r:id="rId14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AA" w:rsidRDefault="007552AA" w:rsidP="005373E1">
      <w:pPr>
        <w:spacing w:after="0" w:line="240" w:lineRule="auto"/>
      </w:pPr>
      <w:r>
        <w:separator/>
      </w:r>
    </w:p>
  </w:endnote>
  <w:endnote w:type="continuationSeparator" w:id="0">
    <w:p w:rsidR="007552AA" w:rsidRDefault="007552AA" w:rsidP="0053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77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</w:rPr>
    </w:sdtEndPr>
    <w:sdtContent>
      <w:p w:rsidR="005373E1" w:rsidRPr="005373E1" w:rsidRDefault="005373E1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</w:rPr>
        </w:pPr>
        <w:r w:rsidRPr="005373E1">
          <w:rPr>
            <w:rFonts w:ascii="Times New Roman" w:hAnsi="Times New Roman" w:cs="Times New Roman"/>
          </w:rPr>
          <w:fldChar w:fldCharType="begin"/>
        </w:r>
        <w:r w:rsidRPr="005373E1">
          <w:rPr>
            <w:rFonts w:ascii="Times New Roman" w:hAnsi="Times New Roman" w:cs="Times New Roman"/>
          </w:rPr>
          <w:instrText xml:space="preserve"> PAGE   \* MERGEFORMAT </w:instrText>
        </w:r>
        <w:r w:rsidRPr="005373E1">
          <w:rPr>
            <w:rFonts w:ascii="Times New Roman" w:hAnsi="Times New Roman" w:cs="Times New Roman"/>
          </w:rPr>
          <w:fldChar w:fldCharType="separate"/>
        </w:r>
        <w:r w:rsidR="00974C36">
          <w:rPr>
            <w:rFonts w:ascii="Times New Roman" w:hAnsi="Times New Roman" w:cs="Times New Roman"/>
            <w:noProof/>
          </w:rPr>
          <w:t>1</w:t>
        </w:r>
        <w:r w:rsidRPr="005373E1">
          <w:rPr>
            <w:rFonts w:ascii="Times New Roman" w:hAnsi="Times New Roman" w:cs="Times New Roman"/>
          </w:rPr>
          <w:fldChar w:fldCharType="end"/>
        </w:r>
        <w:r w:rsidRPr="005373E1">
          <w:rPr>
            <w:rFonts w:ascii="Times New Roman" w:hAnsi="Times New Roman" w:cs="Times New Roman"/>
          </w:rPr>
          <w:t xml:space="preserve"> | </w:t>
        </w:r>
        <w:r w:rsidRPr="005373E1">
          <w:rPr>
            <w:rFonts w:ascii="Times New Roman" w:hAnsi="Times New Roman" w:cs="Times New Roman"/>
            <w:color w:val="7F7F7F" w:themeColor="background1" w:themeShade="7F"/>
            <w:spacing w:val="60"/>
          </w:rPr>
          <w:t>Page</w:t>
        </w:r>
      </w:p>
    </w:sdtContent>
  </w:sdt>
  <w:p w:rsidR="005373E1" w:rsidRDefault="00537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AA" w:rsidRDefault="007552AA" w:rsidP="005373E1">
      <w:pPr>
        <w:spacing w:after="0" w:line="240" w:lineRule="auto"/>
      </w:pPr>
      <w:r>
        <w:separator/>
      </w:r>
    </w:p>
  </w:footnote>
  <w:footnote w:type="continuationSeparator" w:id="0">
    <w:p w:rsidR="007552AA" w:rsidRDefault="007552AA" w:rsidP="00537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96C3B"/>
    <w:multiLevelType w:val="hybridMultilevel"/>
    <w:tmpl w:val="04045D06"/>
    <w:lvl w:ilvl="0" w:tplc="2A4889E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269"/>
    <w:rsid w:val="00024FD8"/>
    <w:rsid w:val="000255CD"/>
    <w:rsid w:val="00045584"/>
    <w:rsid w:val="00047D2F"/>
    <w:rsid w:val="00062AA6"/>
    <w:rsid w:val="00090DF7"/>
    <w:rsid w:val="000F6736"/>
    <w:rsid w:val="00103CB5"/>
    <w:rsid w:val="00123E97"/>
    <w:rsid w:val="00125FCB"/>
    <w:rsid w:val="001268AF"/>
    <w:rsid w:val="00134E34"/>
    <w:rsid w:val="0013741D"/>
    <w:rsid w:val="001506A3"/>
    <w:rsid w:val="00180464"/>
    <w:rsid w:val="001D4FB3"/>
    <w:rsid w:val="00210436"/>
    <w:rsid w:val="00225FA7"/>
    <w:rsid w:val="00236AE4"/>
    <w:rsid w:val="00241E88"/>
    <w:rsid w:val="00281B7C"/>
    <w:rsid w:val="002C3593"/>
    <w:rsid w:val="003432F5"/>
    <w:rsid w:val="0035753A"/>
    <w:rsid w:val="003674B6"/>
    <w:rsid w:val="00380116"/>
    <w:rsid w:val="003A59C7"/>
    <w:rsid w:val="003F5951"/>
    <w:rsid w:val="00402746"/>
    <w:rsid w:val="00417133"/>
    <w:rsid w:val="00440357"/>
    <w:rsid w:val="00454F8A"/>
    <w:rsid w:val="004804F0"/>
    <w:rsid w:val="004C0EF8"/>
    <w:rsid w:val="004E34F6"/>
    <w:rsid w:val="004F264B"/>
    <w:rsid w:val="0050708E"/>
    <w:rsid w:val="0050779F"/>
    <w:rsid w:val="0053464B"/>
    <w:rsid w:val="005373E1"/>
    <w:rsid w:val="00553C53"/>
    <w:rsid w:val="00570E23"/>
    <w:rsid w:val="005A0DD7"/>
    <w:rsid w:val="005F3265"/>
    <w:rsid w:val="00687ED2"/>
    <w:rsid w:val="006E57F7"/>
    <w:rsid w:val="007165D4"/>
    <w:rsid w:val="007202B6"/>
    <w:rsid w:val="00734B41"/>
    <w:rsid w:val="0075273A"/>
    <w:rsid w:val="00753CE2"/>
    <w:rsid w:val="007552AA"/>
    <w:rsid w:val="00787403"/>
    <w:rsid w:val="007D17FF"/>
    <w:rsid w:val="007E04E3"/>
    <w:rsid w:val="007F6E98"/>
    <w:rsid w:val="007F7CC6"/>
    <w:rsid w:val="0081618F"/>
    <w:rsid w:val="00821B18"/>
    <w:rsid w:val="0086166E"/>
    <w:rsid w:val="0086795B"/>
    <w:rsid w:val="008C0DA2"/>
    <w:rsid w:val="008C633A"/>
    <w:rsid w:val="008E5EE5"/>
    <w:rsid w:val="0092313D"/>
    <w:rsid w:val="00932376"/>
    <w:rsid w:val="00974C36"/>
    <w:rsid w:val="009E08EE"/>
    <w:rsid w:val="00A05387"/>
    <w:rsid w:val="00A06B46"/>
    <w:rsid w:val="00A67E94"/>
    <w:rsid w:val="00A87970"/>
    <w:rsid w:val="00A95152"/>
    <w:rsid w:val="00AA3091"/>
    <w:rsid w:val="00AA3646"/>
    <w:rsid w:val="00AE6750"/>
    <w:rsid w:val="00AF2C39"/>
    <w:rsid w:val="00B073A1"/>
    <w:rsid w:val="00B27F3D"/>
    <w:rsid w:val="00B32141"/>
    <w:rsid w:val="00B41A20"/>
    <w:rsid w:val="00B41EC8"/>
    <w:rsid w:val="00B44269"/>
    <w:rsid w:val="00B46709"/>
    <w:rsid w:val="00BA0C9C"/>
    <w:rsid w:val="00BA2DCB"/>
    <w:rsid w:val="00C42C90"/>
    <w:rsid w:val="00C717A4"/>
    <w:rsid w:val="00C764A4"/>
    <w:rsid w:val="00C9229E"/>
    <w:rsid w:val="00C95083"/>
    <w:rsid w:val="00C97E9C"/>
    <w:rsid w:val="00CE78FA"/>
    <w:rsid w:val="00D2521D"/>
    <w:rsid w:val="00D53389"/>
    <w:rsid w:val="00D54D74"/>
    <w:rsid w:val="00D64152"/>
    <w:rsid w:val="00D709F9"/>
    <w:rsid w:val="00DA7D3C"/>
    <w:rsid w:val="00DC25DE"/>
    <w:rsid w:val="00DC5215"/>
    <w:rsid w:val="00DD0B35"/>
    <w:rsid w:val="00DD4B87"/>
    <w:rsid w:val="00DF3F0F"/>
    <w:rsid w:val="00DF45FA"/>
    <w:rsid w:val="00E1410D"/>
    <w:rsid w:val="00E321D5"/>
    <w:rsid w:val="00E409BE"/>
    <w:rsid w:val="00E41CAC"/>
    <w:rsid w:val="00E5397E"/>
    <w:rsid w:val="00E90BCF"/>
    <w:rsid w:val="00E911DB"/>
    <w:rsid w:val="00EC02C5"/>
    <w:rsid w:val="00ED112E"/>
    <w:rsid w:val="00ED1294"/>
    <w:rsid w:val="00F237FB"/>
    <w:rsid w:val="00F52BEB"/>
    <w:rsid w:val="00F52EA1"/>
    <w:rsid w:val="00F842F7"/>
    <w:rsid w:val="00FA6CA9"/>
    <w:rsid w:val="00FC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2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2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67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7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73E1"/>
  </w:style>
  <w:style w:type="paragraph" w:styleId="Footer">
    <w:name w:val="footer"/>
    <w:basedOn w:val="Normal"/>
    <w:link w:val="FooterChar"/>
    <w:uiPriority w:val="99"/>
    <w:unhideWhenUsed/>
    <w:rsid w:val="00537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3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2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2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67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7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73E1"/>
  </w:style>
  <w:style w:type="paragraph" w:styleId="Footer">
    <w:name w:val="footer"/>
    <w:basedOn w:val="Normal"/>
    <w:link w:val="FooterChar"/>
    <w:uiPriority w:val="99"/>
    <w:unhideWhenUsed/>
    <w:rsid w:val="00537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B8E10E8-FF42-413D-AEC5-457EE4891529}" type="doc">
      <dgm:prSet loTypeId="urn:microsoft.com/office/officeart/2005/8/layout/cycle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DE62852-BF2E-4591-B27F-BA7DCC30E789}">
      <dgm:prSet phldrT="[Text]" custT="1"/>
      <dgm:spPr>
        <a:solidFill>
          <a:schemeClr val="accent1"/>
        </a:solidFill>
      </dgm:spPr>
      <dgm:t>
        <a:bodyPr/>
        <a:lstStyle/>
        <a:p>
          <a:r>
            <a:rPr lang="en-US" sz="1000">
              <a:latin typeface="Times New Roman" pitchFamily="18" charset="0"/>
              <a:cs typeface="Times New Roman" pitchFamily="18" charset="0"/>
            </a:rPr>
            <a:t>Conception</a:t>
          </a:r>
        </a:p>
      </dgm:t>
    </dgm:pt>
    <dgm:pt modelId="{879FEFA8-71BC-4874-BA34-3836AB6810E3}" type="parTrans" cxnId="{AA03FCB2-8CC2-4689-9E9D-4E56ED13864C}">
      <dgm:prSet/>
      <dgm:spPr/>
      <dgm:t>
        <a:bodyPr/>
        <a:lstStyle/>
        <a:p>
          <a:endParaRPr lang="en-US"/>
        </a:p>
      </dgm:t>
    </dgm:pt>
    <dgm:pt modelId="{BEF1A4D6-584D-4C7D-A32E-271F5BBD30C1}" type="sibTrans" cxnId="{AA03FCB2-8CC2-4689-9E9D-4E56ED13864C}">
      <dgm:prSet/>
      <dgm:spPr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8FFDB98B-075A-4DF5-923E-7E298EFED6B1}">
      <dgm:prSet phldrT="[Text]" custT="1"/>
      <dgm:spPr>
        <a:solidFill>
          <a:schemeClr val="accent6"/>
        </a:solidFill>
      </dgm:spPr>
      <dgm:t>
        <a:bodyPr/>
        <a:lstStyle/>
        <a:p>
          <a:r>
            <a:rPr lang="en-US" sz="1000">
              <a:latin typeface="Times New Roman" pitchFamily="18" charset="0"/>
              <a:cs typeface="Times New Roman" pitchFamily="18" charset="0"/>
            </a:rPr>
            <a:t>Planning</a:t>
          </a:r>
          <a:endParaRPr lang="en-US" sz="1000"/>
        </a:p>
      </dgm:t>
    </dgm:pt>
    <dgm:pt modelId="{6743F699-A50E-435C-94CE-62AC49A0EA1C}" type="parTrans" cxnId="{6B6282FD-DF86-471E-8039-B66DA0FDFBD4}">
      <dgm:prSet/>
      <dgm:spPr/>
      <dgm:t>
        <a:bodyPr/>
        <a:lstStyle/>
        <a:p>
          <a:endParaRPr lang="en-US"/>
        </a:p>
      </dgm:t>
    </dgm:pt>
    <dgm:pt modelId="{5039418F-107D-43B8-ABEB-3E4F877BC2A5}" type="sibTrans" cxnId="{6B6282FD-DF86-471E-8039-B66DA0FDFBD4}">
      <dgm:prSet/>
      <dgm:spPr/>
      <dgm:t>
        <a:bodyPr/>
        <a:lstStyle/>
        <a:p>
          <a:endParaRPr lang="en-US"/>
        </a:p>
      </dgm:t>
    </dgm:pt>
    <dgm:pt modelId="{E2FF27F6-E71C-4C87-A6CA-7A3B232FE615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US" sz="1000">
              <a:latin typeface="Times New Roman" pitchFamily="18" charset="0"/>
              <a:cs typeface="Times New Roman" pitchFamily="18" charset="0"/>
            </a:rPr>
            <a:t>Execution</a:t>
          </a:r>
          <a:endParaRPr lang="en-US" sz="1000"/>
        </a:p>
      </dgm:t>
    </dgm:pt>
    <dgm:pt modelId="{5F9D12FF-F244-436F-A468-34F6DA08899B}" type="parTrans" cxnId="{1A3A8F9D-0276-42E1-A50E-1523E1C7F4E3}">
      <dgm:prSet/>
      <dgm:spPr/>
      <dgm:t>
        <a:bodyPr/>
        <a:lstStyle/>
        <a:p>
          <a:endParaRPr lang="en-US"/>
        </a:p>
      </dgm:t>
    </dgm:pt>
    <dgm:pt modelId="{2A88EE45-7919-404C-ACDF-4E10DB9EBD92}" type="sibTrans" cxnId="{1A3A8F9D-0276-42E1-A50E-1523E1C7F4E3}">
      <dgm:prSet/>
      <dgm:spPr/>
      <dgm:t>
        <a:bodyPr/>
        <a:lstStyle/>
        <a:p>
          <a:endParaRPr lang="en-US"/>
        </a:p>
      </dgm:t>
    </dgm:pt>
    <dgm:pt modelId="{0955B132-2041-406B-B7CB-E9AD8A229165}">
      <dgm:prSet phldrT="[Text]" custT="1"/>
      <dgm:spPr>
        <a:solidFill>
          <a:schemeClr val="accent4">
            <a:lumMod val="40000"/>
            <a:lumOff val="60000"/>
          </a:schemeClr>
        </a:solidFill>
      </dgm:spPr>
      <dgm:t>
        <a:bodyPr/>
        <a:lstStyle/>
        <a:p>
          <a:r>
            <a:rPr lang="en-US" sz="1000">
              <a:latin typeface="Times New Roman" pitchFamily="18" charset="0"/>
              <a:cs typeface="Times New Roman" pitchFamily="18" charset="0"/>
            </a:rPr>
            <a:t>Close-out</a:t>
          </a:r>
          <a:endParaRPr lang="en-US" sz="1000"/>
        </a:p>
      </dgm:t>
    </dgm:pt>
    <dgm:pt modelId="{0AB23D9D-C0C8-4F03-B1AC-31124A6DFC21}" type="parTrans" cxnId="{62B33DBA-64E2-4252-AF83-02C13BE0586C}">
      <dgm:prSet/>
      <dgm:spPr/>
      <dgm:t>
        <a:bodyPr/>
        <a:lstStyle/>
        <a:p>
          <a:endParaRPr lang="en-US"/>
        </a:p>
      </dgm:t>
    </dgm:pt>
    <dgm:pt modelId="{B298220C-2B64-4BAB-A323-47ACA1220DB1}" type="sibTrans" cxnId="{62B33DBA-64E2-4252-AF83-02C13BE0586C}">
      <dgm:prSet/>
      <dgm:spPr/>
      <dgm:t>
        <a:bodyPr/>
        <a:lstStyle/>
        <a:p>
          <a:endParaRPr lang="en-US"/>
        </a:p>
      </dgm:t>
    </dgm:pt>
    <dgm:pt modelId="{A6B7ECA1-5A49-4750-9EDB-E08B17C9F5C4}" type="pres">
      <dgm:prSet presAssocID="{DB8E10E8-FF42-413D-AEC5-457EE4891529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2AFD902-0863-4E4A-9F88-B4D6E34154C8}" type="pres">
      <dgm:prSet presAssocID="{BDE62852-BF2E-4591-B27F-BA7DCC30E789}" presName="dummy" presStyleCnt="0"/>
      <dgm:spPr/>
    </dgm:pt>
    <dgm:pt modelId="{9B8A6446-6396-45E5-9620-5B4C33C0730B}" type="pres">
      <dgm:prSet presAssocID="{BDE62852-BF2E-4591-B27F-BA7DCC30E789}" presName="node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54B73E-9626-4B89-9A17-D07192E2C5E7}" type="pres">
      <dgm:prSet presAssocID="{BEF1A4D6-584D-4C7D-A32E-271F5BBD30C1}" presName="sibTrans" presStyleLbl="node1" presStyleIdx="0" presStyleCnt="4"/>
      <dgm:spPr/>
      <dgm:t>
        <a:bodyPr/>
        <a:lstStyle/>
        <a:p>
          <a:endParaRPr lang="en-US"/>
        </a:p>
      </dgm:t>
    </dgm:pt>
    <dgm:pt modelId="{5D3298A1-F359-4321-89A5-EB481F74B9E0}" type="pres">
      <dgm:prSet presAssocID="{8FFDB98B-075A-4DF5-923E-7E298EFED6B1}" presName="dummy" presStyleCnt="0"/>
      <dgm:spPr/>
    </dgm:pt>
    <dgm:pt modelId="{AD9D5792-C9B9-440A-B30C-F7A9DF1C457B}" type="pres">
      <dgm:prSet presAssocID="{8FFDB98B-075A-4DF5-923E-7E298EFED6B1}" presName="node" presStyleLbl="revTx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02626A-45C6-48D3-8E17-43C73CA6C5C3}" type="pres">
      <dgm:prSet presAssocID="{5039418F-107D-43B8-ABEB-3E4F877BC2A5}" presName="sibTrans" presStyleLbl="node1" presStyleIdx="1" presStyleCnt="4"/>
      <dgm:spPr/>
      <dgm:t>
        <a:bodyPr/>
        <a:lstStyle/>
        <a:p>
          <a:endParaRPr lang="en-US"/>
        </a:p>
      </dgm:t>
    </dgm:pt>
    <dgm:pt modelId="{578B066F-E683-40F1-89DE-2F466A49F6CA}" type="pres">
      <dgm:prSet presAssocID="{E2FF27F6-E71C-4C87-A6CA-7A3B232FE615}" presName="dummy" presStyleCnt="0"/>
      <dgm:spPr/>
    </dgm:pt>
    <dgm:pt modelId="{1C56E4B1-81D2-40B1-B72B-1C2E71347046}" type="pres">
      <dgm:prSet presAssocID="{E2FF27F6-E71C-4C87-A6CA-7A3B232FE615}" presName="node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BB4014-5CAB-47B2-939D-AD256EF7EEBC}" type="pres">
      <dgm:prSet presAssocID="{2A88EE45-7919-404C-ACDF-4E10DB9EBD92}" presName="sibTrans" presStyleLbl="node1" presStyleIdx="2" presStyleCnt="4"/>
      <dgm:spPr/>
      <dgm:t>
        <a:bodyPr/>
        <a:lstStyle/>
        <a:p>
          <a:endParaRPr lang="en-US"/>
        </a:p>
      </dgm:t>
    </dgm:pt>
    <dgm:pt modelId="{9416411F-4FB9-40A8-A01C-2F2248F73D1E}" type="pres">
      <dgm:prSet presAssocID="{0955B132-2041-406B-B7CB-E9AD8A229165}" presName="dummy" presStyleCnt="0"/>
      <dgm:spPr/>
    </dgm:pt>
    <dgm:pt modelId="{368F1950-FAA3-4F62-B426-50C4181F09A2}" type="pres">
      <dgm:prSet presAssocID="{0955B132-2041-406B-B7CB-E9AD8A229165}" presName="node" presStyleLbl="revTx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EE6E98A-84D5-4852-94CD-85531CF8D7FB}" type="pres">
      <dgm:prSet presAssocID="{B298220C-2B64-4BAB-A323-47ACA1220DB1}" presName="sibTrans" presStyleLbl="node1" presStyleIdx="3" presStyleCnt="4"/>
      <dgm:spPr/>
      <dgm:t>
        <a:bodyPr/>
        <a:lstStyle/>
        <a:p>
          <a:endParaRPr lang="en-US"/>
        </a:p>
      </dgm:t>
    </dgm:pt>
  </dgm:ptLst>
  <dgm:cxnLst>
    <dgm:cxn modelId="{6B6282FD-DF86-471E-8039-B66DA0FDFBD4}" srcId="{DB8E10E8-FF42-413D-AEC5-457EE4891529}" destId="{8FFDB98B-075A-4DF5-923E-7E298EFED6B1}" srcOrd="1" destOrd="0" parTransId="{6743F699-A50E-435C-94CE-62AC49A0EA1C}" sibTransId="{5039418F-107D-43B8-ABEB-3E4F877BC2A5}"/>
    <dgm:cxn modelId="{AA03FCB2-8CC2-4689-9E9D-4E56ED13864C}" srcId="{DB8E10E8-FF42-413D-AEC5-457EE4891529}" destId="{BDE62852-BF2E-4591-B27F-BA7DCC30E789}" srcOrd="0" destOrd="0" parTransId="{879FEFA8-71BC-4874-BA34-3836AB6810E3}" sibTransId="{BEF1A4D6-584D-4C7D-A32E-271F5BBD30C1}"/>
    <dgm:cxn modelId="{778CF5CA-75DF-43D8-8B8C-3AD4A2DD406C}" type="presOf" srcId="{E2FF27F6-E71C-4C87-A6CA-7A3B232FE615}" destId="{1C56E4B1-81D2-40B1-B72B-1C2E71347046}" srcOrd="0" destOrd="0" presId="urn:microsoft.com/office/officeart/2005/8/layout/cycle1"/>
    <dgm:cxn modelId="{001F2685-DEAD-4E76-A11F-56A7C0C856F1}" type="presOf" srcId="{BEF1A4D6-584D-4C7D-A32E-271F5BBD30C1}" destId="{9F54B73E-9626-4B89-9A17-D07192E2C5E7}" srcOrd="0" destOrd="0" presId="urn:microsoft.com/office/officeart/2005/8/layout/cycle1"/>
    <dgm:cxn modelId="{763B109B-D5BC-429A-9A2A-23661BC79CCA}" type="presOf" srcId="{DB8E10E8-FF42-413D-AEC5-457EE4891529}" destId="{A6B7ECA1-5A49-4750-9EDB-E08B17C9F5C4}" srcOrd="0" destOrd="0" presId="urn:microsoft.com/office/officeart/2005/8/layout/cycle1"/>
    <dgm:cxn modelId="{1A3A8F9D-0276-42E1-A50E-1523E1C7F4E3}" srcId="{DB8E10E8-FF42-413D-AEC5-457EE4891529}" destId="{E2FF27F6-E71C-4C87-A6CA-7A3B232FE615}" srcOrd="2" destOrd="0" parTransId="{5F9D12FF-F244-436F-A468-34F6DA08899B}" sibTransId="{2A88EE45-7919-404C-ACDF-4E10DB9EBD92}"/>
    <dgm:cxn modelId="{2282D2C6-C1B8-4777-B23F-B3C0DDF46264}" type="presOf" srcId="{BDE62852-BF2E-4591-B27F-BA7DCC30E789}" destId="{9B8A6446-6396-45E5-9620-5B4C33C0730B}" srcOrd="0" destOrd="0" presId="urn:microsoft.com/office/officeart/2005/8/layout/cycle1"/>
    <dgm:cxn modelId="{A8777B42-23F1-456F-B78B-9E2181A68B37}" type="presOf" srcId="{5039418F-107D-43B8-ABEB-3E4F877BC2A5}" destId="{0202626A-45C6-48D3-8E17-43C73CA6C5C3}" srcOrd="0" destOrd="0" presId="urn:microsoft.com/office/officeart/2005/8/layout/cycle1"/>
    <dgm:cxn modelId="{091CB485-9692-4460-AE42-0327213407EB}" type="presOf" srcId="{8FFDB98B-075A-4DF5-923E-7E298EFED6B1}" destId="{AD9D5792-C9B9-440A-B30C-F7A9DF1C457B}" srcOrd="0" destOrd="0" presId="urn:microsoft.com/office/officeart/2005/8/layout/cycle1"/>
    <dgm:cxn modelId="{20EAD0F3-5098-46C2-9AC2-B6ACE0332A8E}" type="presOf" srcId="{2A88EE45-7919-404C-ACDF-4E10DB9EBD92}" destId="{2CBB4014-5CAB-47B2-939D-AD256EF7EEBC}" srcOrd="0" destOrd="0" presId="urn:microsoft.com/office/officeart/2005/8/layout/cycle1"/>
    <dgm:cxn modelId="{6E2EEB29-67E3-4582-885A-556062253831}" type="presOf" srcId="{0955B132-2041-406B-B7CB-E9AD8A229165}" destId="{368F1950-FAA3-4F62-B426-50C4181F09A2}" srcOrd="0" destOrd="0" presId="urn:microsoft.com/office/officeart/2005/8/layout/cycle1"/>
    <dgm:cxn modelId="{62B33DBA-64E2-4252-AF83-02C13BE0586C}" srcId="{DB8E10E8-FF42-413D-AEC5-457EE4891529}" destId="{0955B132-2041-406B-B7CB-E9AD8A229165}" srcOrd="3" destOrd="0" parTransId="{0AB23D9D-C0C8-4F03-B1AC-31124A6DFC21}" sibTransId="{B298220C-2B64-4BAB-A323-47ACA1220DB1}"/>
    <dgm:cxn modelId="{A681FFF6-B405-452D-8939-366371C5FBA0}" type="presOf" srcId="{B298220C-2B64-4BAB-A323-47ACA1220DB1}" destId="{7EE6E98A-84D5-4852-94CD-85531CF8D7FB}" srcOrd="0" destOrd="0" presId="urn:microsoft.com/office/officeart/2005/8/layout/cycle1"/>
    <dgm:cxn modelId="{56114094-45B6-4FF1-8E4C-E8828E7857F4}" type="presParOf" srcId="{A6B7ECA1-5A49-4750-9EDB-E08B17C9F5C4}" destId="{C2AFD902-0863-4E4A-9F88-B4D6E34154C8}" srcOrd="0" destOrd="0" presId="urn:microsoft.com/office/officeart/2005/8/layout/cycle1"/>
    <dgm:cxn modelId="{FF2FBB3A-2EBE-4074-A0AE-D801A6BA940B}" type="presParOf" srcId="{A6B7ECA1-5A49-4750-9EDB-E08B17C9F5C4}" destId="{9B8A6446-6396-45E5-9620-5B4C33C0730B}" srcOrd="1" destOrd="0" presId="urn:microsoft.com/office/officeart/2005/8/layout/cycle1"/>
    <dgm:cxn modelId="{387E8DD6-D5E8-4568-8D98-086430BEF750}" type="presParOf" srcId="{A6B7ECA1-5A49-4750-9EDB-E08B17C9F5C4}" destId="{9F54B73E-9626-4B89-9A17-D07192E2C5E7}" srcOrd="2" destOrd="0" presId="urn:microsoft.com/office/officeart/2005/8/layout/cycle1"/>
    <dgm:cxn modelId="{2222E415-A18C-4FC5-A6B6-DCE74ADB4FED}" type="presParOf" srcId="{A6B7ECA1-5A49-4750-9EDB-E08B17C9F5C4}" destId="{5D3298A1-F359-4321-89A5-EB481F74B9E0}" srcOrd="3" destOrd="0" presId="urn:microsoft.com/office/officeart/2005/8/layout/cycle1"/>
    <dgm:cxn modelId="{DB85754E-26F2-464C-90BC-93D4AD72D657}" type="presParOf" srcId="{A6B7ECA1-5A49-4750-9EDB-E08B17C9F5C4}" destId="{AD9D5792-C9B9-440A-B30C-F7A9DF1C457B}" srcOrd="4" destOrd="0" presId="urn:microsoft.com/office/officeart/2005/8/layout/cycle1"/>
    <dgm:cxn modelId="{1571FF39-9E46-42AD-BF49-2C0532E74D4D}" type="presParOf" srcId="{A6B7ECA1-5A49-4750-9EDB-E08B17C9F5C4}" destId="{0202626A-45C6-48D3-8E17-43C73CA6C5C3}" srcOrd="5" destOrd="0" presId="urn:microsoft.com/office/officeart/2005/8/layout/cycle1"/>
    <dgm:cxn modelId="{B24CBF3D-19D2-4E49-B937-D346F12DD083}" type="presParOf" srcId="{A6B7ECA1-5A49-4750-9EDB-E08B17C9F5C4}" destId="{578B066F-E683-40F1-89DE-2F466A49F6CA}" srcOrd="6" destOrd="0" presId="urn:microsoft.com/office/officeart/2005/8/layout/cycle1"/>
    <dgm:cxn modelId="{AD31A111-E075-4FB9-8EA8-6F4F61F77828}" type="presParOf" srcId="{A6B7ECA1-5A49-4750-9EDB-E08B17C9F5C4}" destId="{1C56E4B1-81D2-40B1-B72B-1C2E71347046}" srcOrd="7" destOrd="0" presId="urn:microsoft.com/office/officeart/2005/8/layout/cycle1"/>
    <dgm:cxn modelId="{22CE5B59-91AE-4977-ACA9-53702AF00F38}" type="presParOf" srcId="{A6B7ECA1-5A49-4750-9EDB-E08B17C9F5C4}" destId="{2CBB4014-5CAB-47B2-939D-AD256EF7EEBC}" srcOrd="8" destOrd="0" presId="urn:microsoft.com/office/officeart/2005/8/layout/cycle1"/>
    <dgm:cxn modelId="{74046583-34C9-4C1C-9013-691D08F5F9ED}" type="presParOf" srcId="{A6B7ECA1-5A49-4750-9EDB-E08B17C9F5C4}" destId="{9416411F-4FB9-40A8-A01C-2F2248F73D1E}" srcOrd="9" destOrd="0" presId="urn:microsoft.com/office/officeart/2005/8/layout/cycle1"/>
    <dgm:cxn modelId="{EAB63856-463F-4F80-85A5-DB424029610F}" type="presParOf" srcId="{A6B7ECA1-5A49-4750-9EDB-E08B17C9F5C4}" destId="{368F1950-FAA3-4F62-B426-50C4181F09A2}" srcOrd="10" destOrd="0" presId="urn:microsoft.com/office/officeart/2005/8/layout/cycle1"/>
    <dgm:cxn modelId="{11C846AD-A5EE-4A05-8D85-3BBE39082129}" type="presParOf" srcId="{A6B7ECA1-5A49-4750-9EDB-E08B17C9F5C4}" destId="{7EE6E98A-84D5-4852-94CD-85531CF8D7FB}" srcOrd="11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8A6446-6396-45E5-9620-5B4C33C0730B}">
      <dsp:nvSpPr>
        <dsp:cNvPr id="0" name=""/>
        <dsp:cNvSpPr/>
      </dsp:nvSpPr>
      <dsp:spPr>
        <a:xfrm>
          <a:off x="1642399" y="42649"/>
          <a:ext cx="669375" cy="669375"/>
        </a:xfrm>
        <a:prstGeom prst="rect">
          <a:avLst/>
        </a:prstGeom>
        <a:solidFill>
          <a:schemeClr val="accent1"/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Times New Roman" pitchFamily="18" charset="0"/>
              <a:cs typeface="Times New Roman" pitchFamily="18" charset="0"/>
            </a:rPr>
            <a:t>Conception</a:t>
          </a:r>
        </a:p>
      </dsp:txBody>
      <dsp:txXfrm>
        <a:off x="1642399" y="42649"/>
        <a:ext cx="669375" cy="669375"/>
      </dsp:txXfrm>
    </dsp:sp>
    <dsp:sp modelId="{9F54B73E-9626-4B89-9A17-D07192E2C5E7}">
      <dsp:nvSpPr>
        <dsp:cNvPr id="0" name=""/>
        <dsp:cNvSpPr/>
      </dsp:nvSpPr>
      <dsp:spPr>
        <a:xfrm>
          <a:off x="464010" y="590"/>
          <a:ext cx="1889823" cy="1889823"/>
        </a:xfrm>
        <a:prstGeom prst="circularArrow">
          <a:avLst>
            <a:gd name="adj1" fmla="val 6907"/>
            <a:gd name="adj2" fmla="val 465737"/>
            <a:gd name="adj3" fmla="val 547797"/>
            <a:gd name="adj4" fmla="val 20586466"/>
            <a:gd name="adj5" fmla="val 8058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D9D5792-C9B9-440A-B30C-F7A9DF1C457B}">
      <dsp:nvSpPr>
        <dsp:cNvPr id="0" name=""/>
        <dsp:cNvSpPr/>
      </dsp:nvSpPr>
      <dsp:spPr>
        <a:xfrm>
          <a:off x="1642399" y="1178978"/>
          <a:ext cx="669375" cy="669375"/>
        </a:xfrm>
        <a:prstGeom prst="rect">
          <a:avLst/>
        </a:prstGeom>
        <a:solidFill>
          <a:schemeClr val="accent6"/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Times New Roman" pitchFamily="18" charset="0"/>
              <a:cs typeface="Times New Roman" pitchFamily="18" charset="0"/>
            </a:rPr>
            <a:t>Planning</a:t>
          </a:r>
          <a:endParaRPr lang="en-US" sz="1000" kern="1200"/>
        </a:p>
      </dsp:txBody>
      <dsp:txXfrm>
        <a:off x="1642399" y="1178978"/>
        <a:ext cx="669375" cy="669375"/>
      </dsp:txXfrm>
    </dsp:sp>
    <dsp:sp modelId="{0202626A-45C6-48D3-8E17-43C73CA6C5C3}">
      <dsp:nvSpPr>
        <dsp:cNvPr id="0" name=""/>
        <dsp:cNvSpPr/>
      </dsp:nvSpPr>
      <dsp:spPr>
        <a:xfrm>
          <a:off x="464010" y="590"/>
          <a:ext cx="1889823" cy="1889823"/>
        </a:xfrm>
        <a:prstGeom prst="circularArrow">
          <a:avLst>
            <a:gd name="adj1" fmla="val 6907"/>
            <a:gd name="adj2" fmla="val 465737"/>
            <a:gd name="adj3" fmla="val 5947797"/>
            <a:gd name="adj4" fmla="val 4386466"/>
            <a:gd name="adj5" fmla="val 8058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56E4B1-81D2-40B1-B72B-1C2E71347046}">
      <dsp:nvSpPr>
        <dsp:cNvPr id="0" name=""/>
        <dsp:cNvSpPr/>
      </dsp:nvSpPr>
      <dsp:spPr>
        <a:xfrm>
          <a:off x="506070" y="1178978"/>
          <a:ext cx="669375" cy="669375"/>
        </a:xfrm>
        <a:prstGeom prst="rect">
          <a:avLst/>
        </a:prstGeom>
        <a:solidFill>
          <a:schemeClr val="accent3"/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Times New Roman" pitchFamily="18" charset="0"/>
              <a:cs typeface="Times New Roman" pitchFamily="18" charset="0"/>
            </a:rPr>
            <a:t>Execution</a:t>
          </a:r>
          <a:endParaRPr lang="en-US" sz="1000" kern="1200"/>
        </a:p>
      </dsp:txBody>
      <dsp:txXfrm>
        <a:off x="506070" y="1178978"/>
        <a:ext cx="669375" cy="669375"/>
      </dsp:txXfrm>
    </dsp:sp>
    <dsp:sp modelId="{2CBB4014-5CAB-47B2-939D-AD256EF7EEBC}">
      <dsp:nvSpPr>
        <dsp:cNvPr id="0" name=""/>
        <dsp:cNvSpPr/>
      </dsp:nvSpPr>
      <dsp:spPr>
        <a:xfrm>
          <a:off x="464010" y="590"/>
          <a:ext cx="1889823" cy="1889823"/>
        </a:xfrm>
        <a:prstGeom prst="circularArrow">
          <a:avLst>
            <a:gd name="adj1" fmla="val 6907"/>
            <a:gd name="adj2" fmla="val 465737"/>
            <a:gd name="adj3" fmla="val 11347797"/>
            <a:gd name="adj4" fmla="val 9786466"/>
            <a:gd name="adj5" fmla="val 8058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68F1950-FAA3-4F62-B426-50C4181F09A2}">
      <dsp:nvSpPr>
        <dsp:cNvPr id="0" name=""/>
        <dsp:cNvSpPr/>
      </dsp:nvSpPr>
      <dsp:spPr>
        <a:xfrm>
          <a:off x="506070" y="42649"/>
          <a:ext cx="669375" cy="669375"/>
        </a:xfrm>
        <a:prstGeom prst="rect">
          <a:avLst/>
        </a:prstGeom>
        <a:solidFill>
          <a:schemeClr val="accent4">
            <a:lumMod val="40000"/>
            <a:lumOff val="60000"/>
          </a:schemeClr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Times New Roman" pitchFamily="18" charset="0"/>
              <a:cs typeface="Times New Roman" pitchFamily="18" charset="0"/>
            </a:rPr>
            <a:t>Close-out</a:t>
          </a:r>
          <a:endParaRPr lang="en-US" sz="1000" kern="1200"/>
        </a:p>
      </dsp:txBody>
      <dsp:txXfrm>
        <a:off x="506070" y="42649"/>
        <a:ext cx="669375" cy="669375"/>
      </dsp:txXfrm>
    </dsp:sp>
    <dsp:sp modelId="{7EE6E98A-84D5-4852-94CD-85531CF8D7FB}">
      <dsp:nvSpPr>
        <dsp:cNvPr id="0" name=""/>
        <dsp:cNvSpPr/>
      </dsp:nvSpPr>
      <dsp:spPr>
        <a:xfrm>
          <a:off x="464010" y="590"/>
          <a:ext cx="1889823" cy="1889823"/>
        </a:xfrm>
        <a:prstGeom prst="circularArrow">
          <a:avLst>
            <a:gd name="adj1" fmla="val 6907"/>
            <a:gd name="adj2" fmla="val 465737"/>
            <a:gd name="adj3" fmla="val 16747797"/>
            <a:gd name="adj4" fmla="val 15186466"/>
            <a:gd name="adj5" fmla="val 8058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4DE5D-DE2A-49B8-BBA1-B56817F3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Kshama</dc:creator>
  <cp:lastModifiedBy>Darielle</cp:lastModifiedBy>
  <cp:revision>2</cp:revision>
  <cp:lastPrinted>2010-12-28T13:48:00Z</cp:lastPrinted>
  <dcterms:created xsi:type="dcterms:W3CDTF">2011-04-20T00:17:00Z</dcterms:created>
  <dcterms:modified xsi:type="dcterms:W3CDTF">2011-04-20T00:17:00Z</dcterms:modified>
</cp:coreProperties>
</file>